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DA076">
      <w:pPr>
        <w:pageBreakBefore/>
        <w:spacing w:before="312" w:beforeLines="100" w:after="156" w:afterLines="50" w:line="400" w:lineRule="exact"/>
        <w:ind w:right="55" w:rightChars="26"/>
        <w:jc w:val="left"/>
        <w:outlineLvl w:val="1"/>
        <w:rPr>
          <w:b/>
          <w:sz w:val="24"/>
          <w:szCs w:val="24"/>
        </w:rPr>
      </w:pPr>
      <w:r>
        <w:rPr>
          <w:rFonts w:hint="eastAsia"/>
          <w:b/>
          <w:sz w:val="24"/>
          <w:szCs w:val="24"/>
        </w:rPr>
        <w:t>附件一：工程缺陷责任与质量保修书</w:t>
      </w:r>
    </w:p>
    <w:p w14:paraId="2BE45B50">
      <w:pPr>
        <w:spacing w:line="400" w:lineRule="exact"/>
        <w:rPr>
          <w:kern w:val="10"/>
          <w:sz w:val="24"/>
          <w:szCs w:val="24"/>
        </w:rPr>
      </w:pPr>
      <w:r>
        <w:rPr>
          <w:rFonts w:hint="eastAsia"/>
          <w:kern w:val="10"/>
          <w:sz w:val="24"/>
          <w:szCs w:val="24"/>
        </w:rPr>
        <w:t>发包人（全称）：</w:t>
      </w:r>
      <w:r>
        <w:rPr>
          <w:rFonts w:hint="eastAsia"/>
          <w:kern w:val="10"/>
          <w:sz w:val="24"/>
          <w:szCs w:val="24"/>
          <w:u w:val="single"/>
        </w:rPr>
        <w:t xml:space="preserve">                  </w:t>
      </w:r>
      <w:r>
        <w:rPr>
          <w:rFonts w:hint="eastAsia"/>
          <w:kern w:val="10"/>
          <w:sz w:val="24"/>
          <w:szCs w:val="24"/>
        </w:rPr>
        <w:t xml:space="preserve">有限公司 </w:t>
      </w:r>
    </w:p>
    <w:p w14:paraId="6B53780A">
      <w:pPr>
        <w:spacing w:line="400" w:lineRule="exact"/>
        <w:rPr>
          <w:kern w:val="10"/>
          <w:sz w:val="24"/>
          <w:szCs w:val="24"/>
        </w:rPr>
      </w:pPr>
      <w:r>
        <w:rPr>
          <w:rFonts w:hint="eastAsia"/>
          <w:kern w:val="10"/>
          <w:sz w:val="24"/>
          <w:szCs w:val="24"/>
        </w:rPr>
        <w:t>承包人（全称）：</w:t>
      </w:r>
      <w:r>
        <w:rPr>
          <w:rFonts w:hint="eastAsia"/>
          <w:kern w:val="10"/>
          <w:sz w:val="24"/>
          <w:szCs w:val="24"/>
          <w:u w:val="single"/>
        </w:rPr>
        <w:t xml:space="preserve">               </w:t>
      </w:r>
    </w:p>
    <w:p w14:paraId="2444AA87">
      <w:pPr>
        <w:spacing w:line="400" w:lineRule="exact"/>
        <w:ind w:firstLine="570"/>
        <w:rPr>
          <w:kern w:val="10"/>
          <w:sz w:val="24"/>
          <w:szCs w:val="24"/>
        </w:rPr>
      </w:pPr>
      <w:r>
        <w:rPr>
          <w:rFonts w:hint="eastAsia"/>
          <w:kern w:val="10"/>
          <w:sz w:val="24"/>
          <w:szCs w:val="24"/>
        </w:rPr>
        <w:t>为保证</w:t>
      </w:r>
      <w:r>
        <w:rPr>
          <w:rFonts w:hint="eastAsia"/>
          <w:kern w:val="10"/>
          <w:sz w:val="24"/>
          <w:szCs w:val="24"/>
          <w:u w:val="single"/>
        </w:rPr>
        <w:t xml:space="preserve">                                  </w:t>
      </w:r>
      <w:r>
        <w:rPr>
          <w:rFonts w:hint="eastAsia"/>
          <w:kern w:val="10"/>
          <w:sz w:val="24"/>
          <w:szCs w:val="24"/>
        </w:rPr>
        <w:t>（工程名称）在合理使用期限内正常使用，合同双方当事人根据《中华人民共和国建筑法》《建设工程质量管理条例》和《房屋建筑工程质量保修办法》等规定，经协商一致，订立本工程缺陷责任与质量保修（以下简称“工程质量保修”）书。</w:t>
      </w:r>
    </w:p>
    <w:p w14:paraId="483BCD55">
      <w:pPr>
        <w:ind w:firstLine="482" w:firstLineChars="200"/>
        <w:rPr>
          <w:rFonts w:hint="eastAsia" w:eastAsia="宋体"/>
          <w:b/>
          <w:bCs/>
          <w:sz w:val="24"/>
          <w:szCs w:val="24"/>
          <w:lang w:eastAsia="zh-CN"/>
        </w:rPr>
      </w:pPr>
      <w:r>
        <w:rPr>
          <w:rFonts w:hint="eastAsia"/>
          <w:b/>
          <w:bCs/>
          <w:sz w:val="24"/>
          <w:szCs w:val="24"/>
        </w:rPr>
        <w:t>缺陷责任期</w:t>
      </w:r>
      <w:r>
        <w:rPr>
          <w:rFonts w:hint="eastAsia"/>
          <w:b/>
          <w:bCs/>
          <w:sz w:val="24"/>
          <w:szCs w:val="24"/>
          <w:lang w:eastAsia="zh-CN"/>
        </w:rPr>
        <w:t>：</w:t>
      </w:r>
    </w:p>
    <w:p w14:paraId="05159F8C">
      <w:pPr>
        <w:ind w:firstLine="480" w:firstLineChars="200"/>
        <w:rPr>
          <w:rFonts w:hint="eastAsia"/>
          <w:sz w:val="24"/>
          <w:szCs w:val="24"/>
        </w:rPr>
      </w:pPr>
      <w:r>
        <w:rPr>
          <w:rFonts w:hint="eastAsia"/>
          <w:sz w:val="24"/>
          <w:szCs w:val="24"/>
        </w:rPr>
        <w:t>一、缺陷责任期</w:t>
      </w:r>
    </w:p>
    <w:p w14:paraId="5D73C3D8">
      <w:pPr>
        <w:ind w:firstLine="480" w:firstLineChars="200"/>
        <w:rPr>
          <w:rFonts w:hint="eastAsia"/>
          <w:sz w:val="24"/>
          <w:szCs w:val="24"/>
          <w:highlight w:val="green"/>
        </w:rPr>
      </w:pPr>
      <w:r>
        <w:rPr>
          <w:rFonts w:hint="eastAsia"/>
          <w:sz w:val="24"/>
          <w:szCs w:val="24"/>
          <w:highlight w:val="none"/>
        </w:rPr>
        <w:t xml:space="preserve">1.1 </w:t>
      </w:r>
      <w:r>
        <w:rPr>
          <w:rFonts w:hint="eastAsia" w:ascii="Times New Roman" w:hAnsi="Times New Roman" w:eastAsia="宋体" w:cs="Times New Roman"/>
          <w:sz w:val="24"/>
          <w:szCs w:val="24"/>
          <w:highlight w:val="none"/>
          <w:lang w:val="en-US" w:eastAsia="zh-CN"/>
        </w:rPr>
        <w:t>本项目缺陷责任期为实际竣工之日起计算</w:t>
      </w:r>
      <w:r>
        <w:rPr>
          <w:rFonts w:hint="eastAsia" w:cs="Times New Roman"/>
          <w:sz w:val="24"/>
          <w:szCs w:val="24"/>
          <w:highlight w:val="none"/>
          <w:lang w:val="en-US" w:eastAsia="zh-CN"/>
        </w:rPr>
        <w:t>，期限为24个月</w:t>
      </w:r>
      <w:r>
        <w:rPr>
          <w:rFonts w:hint="eastAsia" w:eastAsia="宋体" w:cs="Times New Roman"/>
          <w:sz w:val="24"/>
          <w:szCs w:val="24"/>
          <w:highlight w:val="none"/>
          <w:lang w:val="en-US" w:eastAsia="zh-CN"/>
        </w:rPr>
        <w:t>。</w:t>
      </w:r>
    </w:p>
    <w:p w14:paraId="36782DB7">
      <w:pPr>
        <w:ind w:firstLine="480" w:firstLineChars="200"/>
        <w:rPr>
          <w:rFonts w:hint="eastAsia"/>
          <w:sz w:val="24"/>
          <w:szCs w:val="24"/>
          <w:highlight w:val="none"/>
        </w:rPr>
      </w:pPr>
      <w:r>
        <w:rPr>
          <w:rFonts w:hint="eastAsia"/>
          <w:sz w:val="24"/>
          <w:szCs w:val="24"/>
          <w:highlight w:val="none"/>
        </w:rPr>
        <w:t>1.2 缺陷责任期内，由</w:t>
      </w:r>
      <w:r>
        <w:rPr>
          <w:rFonts w:hint="eastAsia"/>
          <w:sz w:val="24"/>
          <w:szCs w:val="24"/>
          <w:highlight w:val="none"/>
          <w:lang w:eastAsia="zh-CN"/>
        </w:rPr>
        <w:t>承包人</w:t>
      </w:r>
      <w:r>
        <w:rPr>
          <w:rFonts w:hint="eastAsia"/>
          <w:sz w:val="24"/>
          <w:szCs w:val="24"/>
          <w:highlight w:val="none"/>
        </w:rPr>
        <w:t>原因造成的缺陷，</w:t>
      </w:r>
      <w:r>
        <w:rPr>
          <w:rFonts w:hint="eastAsia"/>
          <w:sz w:val="24"/>
          <w:szCs w:val="24"/>
          <w:highlight w:val="none"/>
          <w:lang w:eastAsia="zh-CN"/>
        </w:rPr>
        <w:t>承包人</w:t>
      </w:r>
      <w:r>
        <w:rPr>
          <w:rFonts w:hint="eastAsia"/>
          <w:sz w:val="24"/>
          <w:szCs w:val="24"/>
          <w:highlight w:val="none"/>
        </w:rPr>
        <w:t>应负责维修，并承担由此产生的费用。</w:t>
      </w:r>
    </w:p>
    <w:p w14:paraId="112CE801">
      <w:pPr>
        <w:ind w:firstLine="480" w:firstLineChars="200"/>
        <w:rPr>
          <w:rFonts w:hint="eastAsia"/>
          <w:sz w:val="24"/>
          <w:szCs w:val="24"/>
          <w:highlight w:val="none"/>
        </w:rPr>
      </w:pPr>
      <w:r>
        <w:rPr>
          <w:rFonts w:hint="eastAsia"/>
          <w:sz w:val="24"/>
          <w:szCs w:val="24"/>
          <w:highlight w:val="none"/>
        </w:rPr>
        <w:t>1.3 缺陷责任期内，由</w:t>
      </w:r>
      <w:r>
        <w:rPr>
          <w:rFonts w:hint="eastAsia"/>
          <w:sz w:val="24"/>
          <w:szCs w:val="24"/>
          <w:highlight w:val="none"/>
          <w:lang w:eastAsia="zh-CN"/>
        </w:rPr>
        <w:t>发包人</w:t>
      </w:r>
      <w:r>
        <w:rPr>
          <w:rFonts w:hint="eastAsia"/>
          <w:sz w:val="24"/>
          <w:szCs w:val="24"/>
          <w:highlight w:val="none"/>
        </w:rPr>
        <w:t>原因造成的缺陷，</w:t>
      </w:r>
      <w:r>
        <w:rPr>
          <w:rFonts w:hint="eastAsia"/>
          <w:sz w:val="24"/>
          <w:szCs w:val="24"/>
          <w:highlight w:val="none"/>
          <w:lang w:eastAsia="zh-CN"/>
        </w:rPr>
        <w:t>发包人</w:t>
      </w:r>
      <w:r>
        <w:rPr>
          <w:rFonts w:hint="eastAsia"/>
          <w:sz w:val="24"/>
          <w:szCs w:val="24"/>
          <w:highlight w:val="none"/>
        </w:rPr>
        <w:t>应负责维修，并承担由此产生的费用。</w:t>
      </w:r>
    </w:p>
    <w:p w14:paraId="3DF2B134">
      <w:pPr>
        <w:ind w:firstLine="480" w:firstLineChars="200"/>
        <w:rPr>
          <w:rFonts w:hint="eastAsia"/>
          <w:sz w:val="24"/>
          <w:szCs w:val="24"/>
          <w:highlight w:val="none"/>
        </w:rPr>
      </w:pPr>
      <w:r>
        <w:rPr>
          <w:rFonts w:hint="eastAsia"/>
          <w:sz w:val="24"/>
          <w:szCs w:val="24"/>
          <w:highlight w:val="none"/>
        </w:rPr>
        <w:t>1.4 缺陷责任期内，若发现项目存在设计原因造成的缺陷，</w:t>
      </w:r>
      <w:r>
        <w:rPr>
          <w:rFonts w:hint="eastAsia"/>
          <w:sz w:val="24"/>
          <w:szCs w:val="24"/>
          <w:highlight w:val="none"/>
          <w:lang w:eastAsia="zh-CN"/>
        </w:rPr>
        <w:t>发包人</w:t>
      </w:r>
      <w:r>
        <w:rPr>
          <w:rFonts w:hint="eastAsia"/>
          <w:sz w:val="24"/>
          <w:szCs w:val="24"/>
          <w:highlight w:val="none"/>
        </w:rPr>
        <w:t>有权要求</w:t>
      </w:r>
      <w:r>
        <w:rPr>
          <w:rFonts w:hint="eastAsia"/>
          <w:sz w:val="24"/>
          <w:szCs w:val="24"/>
          <w:highlight w:val="none"/>
          <w:lang w:eastAsia="zh-CN"/>
        </w:rPr>
        <w:t>承包人</w:t>
      </w:r>
      <w:r>
        <w:rPr>
          <w:rFonts w:hint="eastAsia"/>
          <w:sz w:val="24"/>
          <w:szCs w:val="24"/>
          <w:highlight w:val="none"/>
        </w:rPr>
        <w:t>向设计单位追责。</w:t>
      </w:r>
    </w:p>
    <w:p w14:paraId="0F4DC453">
      <w:pPr>
        <w:ind w:firstLine="480" w:firstLineChars="200"/>
        <w:rPr>
          <w:rFonts w:hint="eastAsia"/>
          <w:sz w:val="24"/>
          <w:szCs w:val="24"/>
          <w:highlight w:val="none"/>
        </w:rPr>
      </w:pPr>
    </w:p>
    <w:p w14:paraId="40F2A96E">
      <w:pPr>
        <w:ind w:firstLine="480" w:firstLineChars="200"/>
        <w:rPr>
          <w:rFonts w:hint="eastAsia"/>
          <w:sz w:val="24"/>
          <w:szCs w:val="24"/>
          <w:highlight w:val="none"/>
        </w:rPr>
      </w:pPr>
      <w:r>
        <w:rPr>
          <w:rFonts w:hint="eastAsia"/>
          <w:sz w:val="24"/>
          <w:szCs w:val="24"/>
          <w:highlight w:val="none"/>
        </w:rPr>
        <w:t>二、缺陷处理</w:t>
      </w:r>
    </w:p>
    <w:p w14:paraId="621C3F91">
      <w:pPr>
        <w:ind w:firstLine="480" w:firstLineChars="200"/>
        <w:rPr>
          <w:rFonts w:hint="eastAsia"/>
          <w:sz w:val="24"/>
          <w:szCs w:val="24"/>
          <w:highlight w:val="none"/>
        </w:rPr>
      </w:pPr>
      <w:r>
        <w:rPr>
          <w:rFonts w:hint="eastAsia"/>
          <w:sz w:val="24"/>
          <w:szCs w:val="24"/>
          <w:highlight w:val="none"/>
        </w:rPr>
        <w:t>2.1 缺陷责任期内，若发现项目存在缺陷，</w:t>
      </w:r>
      <w:r>
        <w:rPr>
          <w:rFonts w:hint="eastAsia"/>
          <w:sz w:val="24"/>
          <w:szCs w:val="24"/>
          <w:highlight w:val="none"/>
          <w:lang w:eastAsia="zh-CN"/>
        </w:rPr>
        <w:t>发包人</w:t>
      </w:r>
      <w:r>
        <w:rPr>
          <w:rFonts w:hint="eastAsia"/>
          <w:sz w:val="24"/>
          <w:szCs w:val="24"/>
          <w:highlight w:val="none"/>
        </w:rPr>
        <w:t>有权要求</w:t>
      </w:r>
      <w:r>
        <w:rPr>
          <w:rFonts w:hint="eastAsia"/>
          <w:sz w:val="24"/>
          <w:szCs w:val="24"/>
          <w:highlight w:val="none"/>
          <w:lang w:eastAsia="zh-CN"/>
        </w:rPr>
        <w:t>承包人</w:t>
      </w:r>
      <w:r>
        <w:rPr>
          <w:rFonts w:hint="eastAsia"/>
          <w:sz w:val="24"/>
          <w:szCs w:val="24"/>
          <w:highlight w:val="none"/>
        </w:rPr>
        <w:t>及时进行修复。</w:t>
      </w:r>
      <w:r>
        <w:rPr>
          <w:rFonts w:hint="eastAsia"/>
          <w:sz w:val="24"/>
          <w:szCs w:val="24"/>
          <w:highlight w:val="none"/>
          <w:lang w:eastAsia="zh-CN"/>
        </w:rPr>
        <w:t>承包人</w:t>
      </w:r>
      <w:r>
        <w:rPr>
          <w:rFonts w:hint="eastAsia"/>
          <w:sz w:val="24"/>
          <w:szCs w:val="24"/>
          <w:highlight w:val="none"/>
        </w:rPr>
        <w:t>应在接到</w:t>
      </w:r>
      <w:r>
        <w:rPr>
          <w:rFonts w:hint="eastAsia"/>
          <w:sz w:val="24"/>
          <w:szCs w:val="24"/>
          <w:highlight w:val="none"/>
          <w:lang w:eastAsia="zh-CN"/>
        </w:rPr>
        <w:t>发包人</w:t>
      </w:r>
      <w:r>
        <w:rPr>
          <w:rFonts w:hint="eastAsia"/>
          <w:sz w:val="24"/>
          <w:szCs w:val="24"/>
          <w:highlight w:val="none"/>
        </w:rPr>
        <w:t>通知后的</w:t>
      </w:r>
      <w:r>
        <w:rPr>
          <w:rFonts w:hint="eastAsia"/>
          <w:sz w:val="24"/>
          <w:szCs w:val="24"/>
          <w:highlight w:val="none"/>
          <w:lang w:val="en-US" w:eastAsia="zh-CN"/>
        </w:rPr>
        <w:t>7</w:t>
      </w:r>
      <w:r>
        <w:rPr>
          <w:rFonts w:hint="eastAsia"/>
          <w:sz w:val="24"/>
          <w:szCs w:val="24"/>
          <w:highlight w:val="none"/>
        </w:rPr>
        <w:t>个工作日内，按照</w:t>
      </w:r>
      <w:r>
        <w:rPr>
          <w:rFonts w:hint="eastAsia"/>
          <w:sz w:val="24"/>
          <w:szCs w:val="24"/>
          <w:highlight w:val="none"/>
          <w:lang w:eastAsia="zh-CN"/>
        </w:rPr>
        <w:t>发包人</w:t>
      </w:r>
      <w:r>
        <w:rPr>
          <w:rFonts w:hint="eastAsia"/>
          <w:sz w:val="24"/>
          <w:szCs w:val="24"/>
          <w:highlight w:val="none"/>
        </w:rPr>
        <w:t>的要求进行缺陷处理。</w:t>
      </w:r>
    </w:p>
    <w:p w14:paraId="1D30ABBE">
      <w:pPr>
        <w:ind w:firstLine="480" w:firstLineChars="200"/>
        <w:rPr>
          <w:rFonts w:hint="eastAsia"/>
          <w:sz w:val="24"/>
          <w:szCs w:val="24"/>
          <w:highlight w:val="none"/>
        </w:rPr>
      </w:pPr>
      <w:r>
        <w:rPr>
          <w:rFonts w:hint="eastAsia"/>
          <w:sz w:val="24"/>
          <w:szCs w:val="24"/>
          <w:highlight w:val="none"/>
        </w:rPr>
        <w:t xml:space="preserve">2.2 </w:t>
      </w:r>
      <w:r>
        <w:rPr>
          <w:rFonts w:hint="eastAsia"/>
          <w:sz w:val="24"/>
          <w:szCs w:val="24"/>
          <w:highlight w:val="none"/>
          <w:lang w:eastAsia="zh-CN"/>
        </w:rPr>
        <w:t>承包人</w:t>
      </w:r>
      <w:r>
        <w:rPr>
          <w:rFonts w:hint="eastAsia"/>
          <w:sz w:val="24"/>
          <w:szCs w:val="24"/>
          <w:highlight w:val="none"/>
        </w:rPr>
        <w:t>在缺陷处理过程中，应严格按照相关法律法规、规范标准和设计要求进行，确保修复质量。</w:t>
      </w:r>
    </w:p>
    <w:p w14:paraId="6868F4BF">
      <w:pPr>
        <w:ind w:firstLine="480" w:firstLineChars="200"/>
        <w:rPr>
          <w:rFonts w:hint="eastAsia"/>
          <w:sz w:val="24"/>
          <w:szCs w:val="24"/>
          <w:highlight w:val="none"/>
        </w:rPr>
      </w:pPr>
      <w:r>
        <w:rPr>
          <w:rFonts w:hint="eastAsia"/>
          <w:sz w:val="24"/>
          <w:szCs w:val="24"/>
          <w:highlight w:val="none"/>
        </w:rPr>
        <w:t>2.3 缺陷处理完毕后，</w:t>
      </w:r>
      <w:r>
        <w:rPr>
          <w:rFonts w:hint="eastAsia"/>
          <w:sz w:val="24"/>
          <w:szCs w:val="24"/>
          <w:highlight w:val="none"/>
          <w:lang w:eastAsia="zh-CN"/>
        </w:rPr>
        <w:t>发包人</w:t>
      </w:r>
      <w:r>
        <w:rPr>
          <w:rFonts w:hint="eastAsia"/>
          <w:sz w:val="24"/>
          <w:szCs w:val="24"/>
          <w:highlight w:val="none"/>
        </w:rPr>
        <w:t>有权对修复结果进行验收。验收合格的，</w:t>
      </w:r>
      <w:r>
        <w:rPr>
          <w:rFonts w:hint="eastAsia"/>
          <w:sz w:val="24"/>
          <w:szCs w:val="24"/>
          <w:highlight w:val="none"/>
          <w:lang w:eastAsia="zh-CN"/>
        </w:rPr>
        <w:t>发包人</w:t>
      </w:r>
      <w:r>
        <w:rPr>
          <w:rFonts w:hint="eastAsia"/>
          <w:sz w:val="24"/>
          <w:szCs w:val="24"/>
          <w:highlight w:val="none"/>
        </w:rPr>
        <w:t>应在验收合格后的</w:t>
      </w:r>
      <w:r>
        <w:rPr>
          <w:rFonts w:hint="eastAsia"/>
          <w:sz w:val="24"/>
          <w:szCs w:val="24"/>
          <w:highlight w:val="none"/>
          <w:lang w:val="en-US" w:eastAsia="zh-CN"/>
        </w:rPr>
        <w:t>15</w:t>
      </w:r>
      <w:r>
        <w:rPr>
          <w:rFonts w:hint="eastAsia"/>
          <w:sz w:val="24"/>
          <w:szCs w:val="24"/>
          <w:highlight w:val="none"/>
        </w:rPr>
        <w:t>个工作日内向</w:t>
      </w:r>
      <w:r>
        <w:rPr>
          <w:rFonts w:hint="eastAsia"/>
          <w:sz w:val="24"/>
          <w:szCs w:val="24"/>
          <w:highlight w:val="none"/>
          <w:lang w:eastAsia="zh-CN"/>
        </w:rPr>
        <w:t>承包人</w:t>
      </w:r>
      <w:r>
        <w:rPr>
          <w:rFonts w:hint="eastAsia"/>
          <w:sz w:val="24"/>
          <w:szCs w:val="24"/>
          <w:highlight w:val="none"/>
        </w:rPr>
        <w:t>支付相应的维修费用。</w:t>
      </w:r>
    </w:p>
    <w:p w14:paraId="5C6A0498">
      <w:pPr>
        <w:ind w:firstLine="480" w:firstLineChars="200"/>
        <w:rPr>
          <w:rFonts w:hint="eastAsia"/>
          <w:sz w:val="24"/>
          <w:szCs w:val="24"/>
          <w:highlight w:val="none"/>
        </w:rPr>
      </w:pPr>
    </w:p>
    <w:p w14:paraId="52DFE55D">
      <w:pPr>
        <w:ind w:firstLine="480" w:firstLineChars="200"/>
        <w:rPr>
          <w:rFonts w:hint="eastAsia"/>
          <w:sz w:val="24"/>
          <w:szCs w:val="24"/>
          <w:highlight w:val="none"/>
        </w:rPr>
      </w:pPr>
      <w:r>
        <w:rPr>
          <w:rFonts w:hint="eastAsia"/>
          <w:sz w:val="24"/>
          <w:szCs w:val="24"/>
          <w:highlight w:val="none"/>
        </w:rPr>
        <w:t>三、费用承担</w:t>
      </w:r>
    </w:p>
    <w:p w14:paraId="1C891B49">
      <w:pPr>
        <w:ind w:firstLine="480" w:firstLineChars="200"/>
        <w:rPr>
          <w:rFonts w:hint="eastAsia"/>
          <w:sz w:val="24"/>
          <w:szCs w:val="24"/>
          <w:highlight w:val="none"/>
        </w:rPr>
      </w:pPr>
      <w:r>
        <w:rPr>
          <w:rFonts w:hint="eastAsia"/>
          <w:sz w:val="24"/>
          <w:szCs w:val="24"/>
          <w:highlight w:val="none"/>
        </w:rPr>
        <w:t>3.1 缺陷责任期内，由</w:t>
      </w:r>
      <w:r>
        <w:rPr>
          <w:rFonts w:hint="eastAsia"/>
          <w:sz w:val="24"/>
          <w:szCs w:val="24"/>
          <w:highlight w:val="none"/>
          <w:lang w:eastAsia="zh-CN"/>
        </w:rPr>
        <w:t>承包人</w:t>
      </w:r>
      <w:r>
        <w:rPr>
          <w:rFonts w:hint="eastAsia"/>
          <w:sz w:val="24"/>
          <w:szCs w:val="24"/>
          <w:highlight w:val="none"/>
        </w:rPr>
        <w:t>原因造成的缺陷，所有维修费用由</w:t>
      </w:r>
      <w:r>
        <w:rPr>
          <w:rFonts w:hint="eastAsia"/>
          <w:sz w:val="24"/>
          <w:szCs w:val="24"/>
          <w:highlight w:val="none"/>
          <w:lang w:eastAsia="zh-CN"/>
        </w:rPr>
        <w:t>承包人</w:t>
      </w:r>
      <w:r>
        <w:rPr>
          <w:rFonts w:hint="eastAsia"/>
          <w:sz w:val="24"/>
          <w:szCs w:val="24"/>
          <w:highlight w:val="none"/>
        </w:rPr>
        <w:t>承担。</w:t>
      </w:r>
    </w:p>
    <w:p w14:paraId="314CB95D">
      <w:pPr>
        <w:ind w:firstLine="480" w:firstLineChars="200"/>
        <w:rPr>
          <w:rFonts w:hint="eastAsia"/>
          <w:sz w:val="24"/>
          <w:szCs w:val="24"/>
          <w:highlight w:val="none"/>
        </w:rPr>
      </w:pPr>
      <w:r>
        <w:rPr>
          <w:rFonts w:hint="eastAsia"/>
          <w:sz w:val="24"/>
          <w:szCs w:val="24"/>
          <w:highlight w:val="none"/>
        </w:rPr>
        <w:t>3.2 缺陷责任期内，由</w:t>
      </w:r>
      <w:r>
        <w:rPr>
          <w:rFonts w:hint="eastAsia"/>
          <w:sz w:val="24"/>
          <w:szCs w:val="24"/>
          <w:highlight w:val="none"/>
          <w:lang w:eastAsia="zh-CN"/>
        </w:rPr>
        <w:t>发包人</w:t>
      </w:r>
      <w:r>
        <w:rPr>
          <w:rFonts w:hint="eastAsia"/>
          <w:sz w:val="24"/>
          <w:szCs w:val="24"/>
          <w:highlight w:val="none"/>
        </w:rPr>
        <w:t>原因造成的缺陷，所有维修费用由</w:t>
      </w:r>
      <w:r>
        <w:rPr>
          <w:rFonts w:hint="eastAsia"/>
          <w:sz w:val="24"/>
          <w:szCs w:val="24"/>
          <w:highlight w:val="none"/>
          <w:lang w:eastAsia="zh-CN"/>
        </w:rPr>
        <w:t>发包人</w:t>
      </w:r>
      <w:r>
        <w:rPr>
          <w:rFonts w:hint="eastAsia"/>
          <w:sz w:val="24"/>
          <w:szCs w:val="24"/>
          <w:highlight w:val="none"/>
        </w:rPr>
        <w:t>承担。</w:t>
      </w:r>
    </w:p>
    <w:p w14:paraId="3F617A6A">
      <w:pPr>
        <w:ind w:firstLine="480" w:firstLineChars="200"/>
        <w:rPr>
          <w:rFonts w:hint="eastAsia"/>
          <w:sz w:val="24"/>
          <w:szCs w:val="24"/>
          <w:highlight w:val="none"/>
        </w:rPr>
      </w:pPr>
      <w:r>
        <w:rPr>
          <w:rFonts w:hint="eastAsia"/>
          <w:sz w:val="24"/>
          <w:szCs w:val="24"/>
          <w:highlight w:val="none"/>
        </w:rPr>
        <w:t>3.3 缺陷处理过程中，若涉及第三方责任的，由责任方承担相应费用。</w:t>
      </w:r>
    </w:p>
    <w:p w14:paraId="17097526">
      <w:pPr>
        <w:ind w:firstLine="480" w:firstLineChars="200"/>
        <w:rPr>
          <w:rFonts w:hint="eastAsia"/>
          <w:sz w:val="24"/>
          <w:szCs w:val="24"/>
          <w:highlight w:val="none"/>
        </w:rPr>
      </w:pPr>
    </w:p>
    <w:p w14:paraId="1E0E9709">
      <w:pPr>
        <w:ind w:firstLine="480" w:firstLineChars="200"/>
        <w:rPr>
          <w:rFonts w:hint="eastAsia"/>
          <w:sz w:val="24"/>
          <w:szCs w:val="24"/>
          <w:highlight w:val="none"/>
        </w:rPr>
      </w:pPr>
      <w:r>
        <w:rPr>
          <w:rFonts w:hint="eastAsia"/>
          <w:sz w:val="24"/>
          <w:szCs w:val="24"/>
          <w:highlight w:val="none"/>
        </w:rPr>
        <w:t>四、保修</w:t>
      </w:r>
    </w:p>
    <w:p w14:paraId="70B5AF24">
      <w:pPr>
        <w:ind w:firstLine="480" w:firstLineChars="200"/>
        <w:rPr>
          <w:rFonts w:hint="eastAsia"/>
          <w:sz w:val="24"/>
          <w:szCs w:val="24"/>
          <w:highlight w:val="none"/>
        </w:rPr>
      </w:pPr>
      <w:r>
        <w:rPr>
          <w:rFonts w:hint="eastAsia"/>
          <w:sz w:val="24"/>
          <w:szCs w:val="24"/>
          <w:highlight w:val="none"/>
        </w:rPr>
        <w:t>4.1 缺陷责任期届满后，</w:t>
      </w:r>
      <w:r>
        <w:rPr>
          <w:rFonts w:hint="eastAsia"/>
          <w:sz w:val="24"/>
          <w:szCs w:val="24"/>
          <w:highlight w:val="none"/>
          <w:lang w:eastAsia="zh-CN"/>
        </w:rPr>
        <w:t>承包人</w:t>
      </w:r>
      <w:r>
        <w:rPr>
          <w:rFonts w:hint="eastAsia"/>
          <w:sz w:val="24"/>
          <w:szCs w:val="24"/>
          <w:highlight w:val="none"/>
        </w:rPr>
        <w:t>仍应按照工程质量保修</w:t>
      </w:r>
      <w:r>
        <w:rPr>
          <w:rFonts w:hint="eastAsia"/>
          <w:sz w:val="24"/>
          <w:szCs w:val="24"/>
          <w:highlight w:val="none"/>
          <w:lang w:val="en-US" w:eastAsia="zh-CN"/>
        </w:rPr>
        <w:t>的</w:t>
      </w:r>
      <w:r>
        <w:rPr>
          <w:rFonts w:hint="eastAsia"/>
          <w:sz w:val="24"/>
          <w:szCs w:val="24"/>
          <w:highlight w:val="none"/>
        </w:rPr>
        <w:t>各部位保修年限承担保修义务。</w:t>
      </w:r>
    </w:p>
    <w:p w14:paraId="030EDAF8">
      <w:pPr>
        <w:ind w:firstLine="480" w:firstLineChars="200"/>
        <w:rPr>
          <w:rFonts w:hint="eastAsia"/>
          <w:sz w:val="24"/>
          <w:szCs w:val="24"/>
          <w:highlight w:val="none"/>
        </w:rPr>
      </w:pPr>
      <w:r>
        <w:rPr>
          <w:rFonts w:hint="eastAsia"/>
          <w:sz w:val="24"/>
          <w:szCs w:val="24"/>
          <w:highlight w:val="none"/>
        </w:rPr>
        <w:t>4.2 保修期内，若发现项目存在质量问题，</w:t>
      </w:r>
      <w:r>
        <w:rPr>
          <w:rFonts w:hint="eastAsia"/>
          <w:sz w:val="24"/>
          <w:szCs w:val="24"/>
          <w:highlight w:val="none"/>
          <w:lang w:eastAsia="zh-CN"/>
        </w:rPr>
        <w:t>发包人</w:t>
      </w:r>
      <w:r>
        <w:rPr>
          <w:rFonts w:hint="eastAsia"/>
          <w:sz w:val="24"/>
          <w:szCs w:val="24"/>
          <w:highlight w:val="none"/>
        </w:rPr>
        <w:t>有权要求</w:t>
      </w:r>
      <w:r>
        <w:rPr>
          <w:rFonts w:hint="eastAsia"/>
          <w:sz w:val="24"/>
          <w:szCs w:val="24"/>
          <w:highlight w:val="none"/>
          <w:lang w:eastAsia="zh-CN"/>
        </w:rPr>
        <w:t>承包人</w:t>
      </w:r>
      <w:r>
        <w:rPr>
          <w:rFonts w:hint="eastAsia"/>
          <w:sz w:val="24"/>
          <w:szCs w:val="24"/>
          <w:highlight w:val="none"/>
        </w:rPr>
        <w:t>及时进行修复，并承担由此产生的费用。</w:t>
      </w:r>
    </w:p>
    <w:p w14:paraId="3EBA285F">
      <w:pPr>
        <w:ind w:firstLine="480" w:firstLineChars="200"/>
        <w:rPr>
          <w:rFonts w:hint="eastAsia"/>
          <w:sz w:val="24"/>
          <w:szCs w:val="24"/>
          <w:highlight w:val="none"/>
        </w:rPr>
      </w:pPr>
    </w:p>
    <w:p w14:paraId="434363C7">
      <w:pPr>
        <w:ind w:firstLine="480" w:firstLineChars="200"/>
        <w:rPr>
          <w:rFonts w:hint="eastAsia"/>
          <w:sz w:val="24"/>
          <w:szCs w:val="24"/>
          <w:highlight w:val="none"/>
        </w:rPr>
      </w:pPr>
      <w:r>
        <w:rPr>
          <w:rFonts w:hint="eastAsia"/>
          <w:sz w:val="24"/>
          <w:szCs w:val="24"/>
          <w:highlight w:val="none"/>
        </w:rPr>
        <w:t>五、违约责任</w:t>
      </w:r>
    </w:p>
    <w:p w14:paraId="12223577">
      <w:pPr>
        <w:ind w:firstLine="480" w:firstLineChars="200"/>
        <w:rPr>
          <w:rFonts w:hint="eastAsia"/>
          <w:sz w:val="24"/>
          <w:szCs w:val="24"/>
          <w:highlight w:val="none"/>
        </w:rPr>
      </w:pPr>
      <w:r>
        <w:rPr>
          <w:rFonts w:hint="eastAsia"/>
          <w:sz w:val="24"/>
          <w:szCs w:val="24"/>
          <w:highlight w:val="none"/>
        </w:rPr>
        <w:t xml:space="preserve">5.1 </w:t>
      </w:r>
      <w:r>
        <w:rPr>
          <w:rFonts w:hint="eastAsia"/>
          <w:sz w:val="24"/>
          <w:szCs w:val="24"/>
          <w:highlight w:val="none"/>
          <w:lang w:eastAsia="zh-CN"/>
        </w:rPr>
        <w:t>承包人</w:t>
      </w:r>
      <w:r>
        <w:rPr>
          <w:rFonts w:hint="eastAsia"/>
          <w:sz w:val="24"/>
          <w:szCs w:val="24"/>
          <w:highlight w:val="none"/>
        </w:rPr>
        <w:t>未按照约定时间完成缺陷处理的，应按照逾期天数向</w:t>
      </w:r>
      <w:r>
        <w:rPr>
          <w:rFonts w:hint="eastAsia"/>
          <w:sz w:val="24"/>
          <w:szCs w:val="24"/>
          <w:highlight w:val="none"/>
          <w:lang w:eastAsia="zh-CN"/>
        </w:rPr>
        <w:t>发包人</w:t>
      </w:r>
      <w:r>
        <w:rPr>
          <w:rFonts w:hint="eastAsia"/>
          <w:sz w:val="24"/>
          <w:szCs w:val="24"/>
          <w:highlight w:val="none"/>
        </w:rPr>
        <w:t>支付违约金，违约金计算方式为：维修费用×逾期天数×</w:t>
      </w:r>
      <w:r>
        <w:rPr>
          <w:rFonts w:hint="eastAsia"/>
          <w:sz w:val="24"/>
          <w:szCs w:val="24"/>
          <w:highlight w:val="none"/>
          <w:lang w:val="en-US" w:eastAsia="zh-CN"/>
        </w:rPr>
        <w:t>10</w:t>
      </w:r>
      <w:r>
        <w:rPr>
          <w:rFonts w:hint="eastAsia"/>
          <w:sz w:val="24"/>
          <w:szCs w:val="24"/>
          <w:highlight w:val="none"/>
        </w:rPr>
        <w:t>%。</w:t>
      </w:r>
    </w:p>
    <w:p w14:paraId="34454C3F">
      <w:pPr>
        <w:ind w:firstLine="480" w:firstLineChars="200"/>
        <w:rPr>
          <w:sz w:val="24"/>
          <w:szCs w:val="24"/>
        </w:rPr>
      </w:pPr>
      <w:r>
        <w:rPr>
          <w:rFonts w:hint="eastAsia"/>
          <w:sz w:val="24"/>
          <w:szCs w:val="24"/>
        </w:rPr>
        <w:t xml:space="preserve">5.2 </w:t>
      </w:r>
      <w:r>
        <w:rPr>
          <w:rFonts w:hint="eastAsia"/>
          <w:sz w:val="24"/>
          <w:szCs w:val="24"/>
          <w:lang w:eastAsia="zh-CN"/>
        </w:rPr>
        <w:t>发包人</w:t>
      </w:r>
      <w:r>
        <w:rPr>
          <w:rFonts w:hint="eastAsia"/>
          <w:sz w:val="24"/>
          <w:szCs w:val="24"/>
        </w:rPr>
        <w:t>未按照约定时间支付维修费用的，应承担相应的违约责任。</w:t>
      </w:r>
    </w:p>
    <w:p w14:paraId="2590D271">
      <w:pPr>
        <w:ind w:firstLine="480" w:firstLineChars="200"/>
        <w:rPr>
          <w:sz w:val="24"/>
          <w:szCs w:val="24"/>
        </w:rPr>
      </w:pPr>
    </w:p>
    <w:p w14:paraId="35A36BC9">
      <w:pPr>
        <w:ind w:firstLine="482" w:firstLineChars="200"/>
        <w:rPr>
          <w:rFonts w:hint="eastAsia" w:eastAsia="宋体"/>
          <w:sz w:val="24"/>
          <w:szCs w:val="24"/>
          <w:lang w:eastAsia="zh-CN"/>
        </w:rPr>
      </w:pPr>
      <w:r>
        <w:rPr>
          <w:rFonts w:hint="eastAsia"/>
          <w:b/>
          <w:bCs/>
          <w:sz w:val="24"/>
          <w:szCs w:val="24"/>
        </w:rPr>
        <w:t>质量保修书</w:t>
      </w:r>
      <w:r>
        <w:rPr>
          <w:rFonts w:hint="eastAsia"/>
          <w:b/>
          <w:bCs/>
          <w:sz w:val="24"/>
          <w:szCs w:val="24"/>
          <w:lang w:eastAsia="zh-CN"/>
        </w:rPr>
        <w:t>：</w:t>
      </w:r>
    </w:p>
    <w:p w14:paraId="59D349CE">
      <w:pPr>
        <w:pStyle w:val="4"/>
        <w:numPr>
          <w:ilvl w:val="0"/>
          <w:numId w:val="1"/>
        </w:numPr>
        <w:spacing w:line="360" w:lineRule="auto"/>
        <w:ind w:firstLineChars="0"/>
        <w:rPr>
          <w:b/>
          <w:bCs/>
          <w:sz w:val="24"/>
          <w:szCs w:val="24"/>
        </w:rPr>
      </w:pPr>
      <w:r>
        <w:rPr>
          <w:rFonts w:hint="eastAsia"/>
          <w:b/>
          <w:bCs/>
          <w:sz w:val="24"/>
          <w:szCs w:val="24"/>
        </w:rPr>
        <w:t>工程质量保修书基本条款</w:t>
      </w:r>
    </w:p>
    <w:p w14:paraId="17AD7A16">
      <w:pPr>
        <w:pStyle w:val="4"/>
        <w:numPr>
          <w:ilvl w:val="1"/>
          <w:numId w:val="1"/>
        </w:numPr>
        <w:spacing w:line="360" w:lineRule="auto"/>
        <w:ind w:firstLineChars="0"/>
        <w:rPr>
          <w:b/>
          <w:bCs/>
          <w:sz w:val="24"/>
          <w:szCs w:val="24"/>
        </w:rPr>
      </w:pPr>
      <w:r>
        <w:rPr>
          <w:rFonts w:hint="eastAsia"/>
          <w:sz w:val="24"/>
          <w:szCs w:val="24"/>
        </w:rPr>
        <w:t>工程质量保修范围和内容</w:t>
      </w:r>
    </w:p>
    <w:p w14:paraId="372E7C71">
      <w:pPr>
        <w:spacing w:line="360" w:lineRule="auto"/>
        <w:ind w:firstLine="567"/>
        <w:rPr>
          <w:sz w:val="24"/>
          <w:szCs w:val="24"/>
        </w:rPr>
      </w:pPr>
      <w:r>
        <w:rPr>
          <w:rFonts w:hint="eastAsia"/>
          <w:sz w:val="24"/>
          <w:szCs w:val="24"/>
        </w:rPr>
        <w:t>本工程质量保修范围为本合同承包范围内的各部分内容，包括但不限于合同图纸、工程变更（含设计变更）、现场签证和其他书面文件约定所包含的工程内容以及发包人、承包人双方商定的其他内容。</w:t>
      </w:r>
    </w:p>
    <w:p w14:paraId="3F6D5373">
      <w:pPr>
        <w:spacing w:line="360" w:lineRule="auto"/>
        <w:ind w:firstLine="567"/>
        <w:rPr>
          <w:sz w:val="24"/>
          <w:szCs w:val="24"/>
        </w:rPr>
      </w:pPr>
      <w:r>
        <w:rPr>
          <w:rFonts w:hint="eastAsia"/>
          <w:sz w:val="24"/>
          <w:szCs w:val="24"/>
        </w:rPr>
        <w:t>凡属于承包人原因造成的各部位质量问题或其他缺陷，及由于承包人维修造成的购房人的相关损失，均属于承包人保修责任范围</w:t>
      </w:r>
      <w:r>
        <w:rPr>
          <w:sz w:val="24"/>
          <w:szCs w:val="24"/>
        </w:rPr>
        <w:t>；</w:t>
      </w:r>
      <w:r>
        <w:rPr>
          <w:rFonts w:hint="eastAsia"/>
          <w:sz w:val="24"/>
          <w:szCs w:val="24"/>
        </w:rPr>
        <w:t>不属于承包人责任的，承包人应配合维修，费用由责任方承担</w:t>
      </w:r>
      <w:r>
        <w:rPr>
          <w:sz w:val="24"/>
          <w:szCs w:val="24"/>
        </w:rPr>
        <w:t>；</w:t>
      </w:r>
      <w:r>
        <w:rPr>
          <w:rFonts w:hint="eastAsia"/>
          <w:sz w:val="24"/>
          <w:szCs w:val="24"/>
        </w:rPr>
        <w:t>非因承包人原因造成的原已建成部分的结构工程的质量保修工作，由双方协商解决。</w:t>
      </w:r>
    </w:p>
    <w:p w14:paraId="4F607DE3">
      <w:pPr>
        <w:pStyle w:val="4"/>
        <w:numPr>
          <w:ilvl w:val="0"/>
          <w:numId w:val="1"/>
        </w:numPr>
        <w:spacing w:line="360" w:lineRule="auto"/>
        <w:ind w:firstLineChars="0"/>
        <w:rPr>
          <w:b/>
          <w:bCs/>
          <w:sz w:val="24"/>
          <w:szCs w:val="24"/>
        </w:rPr>
      </w:pPr>
      <w:r>
        <w:rPr>
          <w:rFonts w:hint="eastAsia"/>
          <w:b/>
          <w:bCs/>
          <w:sz w:val="24"/>
          <w:szCs w:val="24"/>
        </w:rPr>
        <w:t>工程质量保修期</w:t>
      </w:r>
    </w:p>
    <w:p w14:paraId="05D96B8D">
      <w:pPr>
        <w:spacing w:line="360" w:lineRule="auto"/>
        <w:ind w:firstLine="484" w:firstLineChars="202"/>
        <w:rPr>
          <w:rFonts w:hint="eastAsia" w:eastAsia="宋体"/>
          <w:b/>
          <w:bCs/>
          <w:sz w:val="24"/>
          <w:szCs w:val="24"/>
          <w:highlight w:val="none"/>
          <w:lang w:eastAsia="zh-CN"/>
        </w:rPr>
      </w:pPr>
      <w:r>
        <w:rPr>
          <w:rFonts w:hint="eastAsia"/>
          <w:sz w:val="24"/>
          <w:szCs w:val="24"/>
          <w:highlight w:val="none"/>
        </w:rPr>
        <w:t>本项目</w:t>
      </w:r>
      <w:r>
        <w:rPr>
          <w:rFonts w:hint="eastAsia"/>
          <w:sz w:val="24"/>
          <w:szCs w:val="24"/>
          <w:highlight w:val="none"/>
          <w:lang w:val="en-US" w:eastAsia="zh-CN"/>
        </w:rPr>
        <w:t>将分批交付，</w:t>
      </w:r>
      <w:r>
        <w:rPr>
          <w:rFonts w:hint="eastAsia" w:ascii="Times New Roman" w:hAnsi="Times New Roman" w:cs="Times New Roman"/>
          <w:sz w:val="24"/>
          <w:szCs w:val="24"/>
          <w:highlight w:val="none"/>
        </w:rPr>
        <w:t>质量保修期自各楼栋实际竣工之日起计算</w:t>
      </w:r>
      <w:r>
        <w:rPr>
          <w:rFonts w:hint="eastAsia" w:cs="Times New Roman"/>
          <w:sz w:val="24"/>
          <w:szCs w:val="24"/>
          <w:highlight w:val="none"/>
          <w:lang w:eastAsia="zh-CN"/>
        </w:rPr>
        <w:t>。</w:t>
      </w:r>
    </w:p>
    <w:p w14:paraId="6CE861DE">
      <w:pPr>
        <w:pStyle w:val="4"/>
        <w:numPr>
          <w:ilvl w:val="1"/>
          <w:numId w:val="1"/>
        </w:numPr>
        <w:spacing w:line="360" w:lineRule="auto"/>
        <w:ind w:firstLineChars="0"/>
        <w:rPr>
          <w:sz w:val="24"/>
          <w:szCs w:val="24"/>
        </w:rPr>
      </w:pPr>
      <w:r>
        <w:rPr>
          <w:rFonts w:hint="eastAsia"/>
          <w:sz w:val="24"/>
          <w:szCs w:val="24"/>
        </w:rPr>
        <w:t>双方根据国家有关规定，结合主合同约定的施工范围，具体工程约定质量保修期如下：</w:t>
      </w:r>
    </w:p>
    <w:p w14:paraId="3FB1FA58">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地基基础工程、主体结构工程为设计文件规定的该工程的合理使用年限；</w:t>
      </w:r>
    </w:p>
    <w:p w14:paraId="5B6DCD9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地下室防水、屋面防水工程、有防水要求的阳台、卫生间、房间、装饰构件和外墙的防渗漏</w:t>
      </w:r>
      <w:r>
        <w:rPr>
          <w:rFonts w:hint="eastAsia"/>
          <w:sz w:val="24"/>
          <w:szCs w:val="24"/>
          <w:lang w:eastAsia="zh-CN"/>
        </w:rPr>
        <w:t>：</w:t>
      </w:r>
      <w:r>
        <w:rPr>
          <w:rFonts w:hint="eastAsia"/>
          <w:color w:val="auto"/>
          <w:sz w:val="24"/>
          <w:szCs w:val="24"/>
        </w:rPr>
        <w:t>为</w:t>
      </w:r>
      <w:r>
        <w:rPr>
          <w:rFonts w:hint="eastAsia"/>
          <w:color w:val="auto"/>
          <w:sz w:val="24"/>
          <w:szCs w:val="24"/>
          <w:u w:val="single"/>
          <w:lang w:val="en-US" w:eastAsia="zh-CN"/>
        </w:rPr>
        <w:t>6.5</w:t>
      </w:r>
      <w:r>
        <w:rPr>
          <w:rFonts w:hint="eastAsia"/>
          <w:color w:val="auto"/>
          <w:sz w:val="24"/>
          <w:szCs w:val="24"/>
        </w:rPr>
        <w:t>年；</w:t>
      </w:r>
    </w:p>
    <w:p w14:paraId="34DA8956">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电气管线、给排水管道、设备安装</w:t>
      </w:r>
      <w:r>
        <w:rPr>
          <w:rFonts w:hint="eastAsia"/>
          <w:sz w:val="24"/>
          <w:szCs w:val="24"/>
          <w:lang w:eastAsia="zh-CN"/>
        </w:rPr>
        <w:t>：</w:t>
      </w:r>
      <w:r>
        <w:rPr>
          <w:rFonts w:hint="eastAsia"/>
          <w:color w:val="auto"/>
          <w:sz w:val="24"/>
          <w:szCs w:val="24"/>
        </w:rPr>
        <w:t>为</w:t>
      </w:r>
      <w:r>
        <w:rPr>
          <w:rFonts w:hint="eastAsia"/>
          <w:color w:val="auto"/>
          <w:sz w:val="24"/>
          <w:szCs w:val="24"/>
          <w:lang w:val="en-US" w:eastAsia="zh-CN"/>
        </w:rPr>
        <w:t>3.5</w:t>
      </w:r>
      <w:r>
        <w:rPr>
          <w:rFonts w:hint="eastAsia"/>
          <w:color w:val="auto"/>
          <w:sz w:val="24"/>
          <w:szCs w:val="24"/>
        </w:rPr>
        <w:t>年；</w:t>
      </w:r>
    </w:p>
    <w:p w14:paraId="5A093F98">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供热与供冷系统</w:t>
      </w:r>
      <w:r>
        <w:rPr>
          <w:rFonts w:hint="eastAsia"/>
          <w:sz w:val="24"/>
          <w:szCs w:val="24"/>
          <w:lang w:eastAsia="zh-CN"/>
        </w:rPr>
        <w:t>：</w:t>
      </w:r>
      <w:r>
        <w:rPr>
          <w:rFonts w:hint="eastAsia"/>
          <w:sz w:val="24"/>
          <w:szCs w:val="24"/>
        </w:rPr>
        <w:t>为</w:t>
      </w:r>
      <w:r>
        <w:rPr>
          <w:rFonts w:hint="eastAsia"/>
          <w:sz w:val="24"/>
          <w:szCs w:val="24"/>
          <w:lang w:val="en-US" w:eastAsia="zh-CN"/>
        </w:rPr>
        <w:t>4</w:t>
      </w:r>
      <w:r>
        <w:rPr>
          <w:rFonts w:hint="eastAsia"/>
          <w:sz w:val="24"/>
          <w:szCs w:val="24"/>
        </w:rPr>
        <w:t>个暖期、供冷期</w:t>
      </w:r>
      <w:r>
        <w:rPr>
          <w:rFonts w:hint="eastAsia"/>
          <w:sz w:val="24"/>
          <w:szCs w:val="24"/>
          <w:lang w:eastAsia="zh-CN"/>
        </w:rPr>
        <w:t>；</w:t>
      </w:r>
    </w:p>
    <w:p w14:paraId="09A3C3E1">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外保温工程为</w:t>
      </w:r>
      <w:r>
        <w:rPr>
          <w:rFonts w:hint="eastAsia"/>
          <w:sz w:val="24"/>
          <w:szCs w:val="24"/>
          <w:lang w:val="en-US" w:eastAsia="zh-CN"/>
        </w:rPr>
        <w:t>6.5</w:t>
      </w:r>
      <w:r>
        <w:rPr>
          <w:rFonts w:hint="eastAsia"/>
          <w:sz w:val="24"/>
          <w:szCs w:val="24"/>
        </w:rPr>
        <w:t>年；</w:t>
      </w:r>
    </w:p>
    <w:p w14:paraId="1D03C3BC">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幕墙工程为</w:t>
      </w:r>
      <w:r>
        <w:rPr>
          <w:rFonts w:hint="eastAsia"/>
          <w:sz w:val="24"/>
          <w:szCs w:val="24"/>
          <w:lang w:val="en-US" w:eastAsia="zh-CN"/>
        </w:rPr>
        <w:t>4.5</w:t>
      </w:r>
      <w:r>
        <w:rPr>
          <w:rFonts w:hint="eastAsia"/>
          <w:sz w:val="24"/>
          <w:szCs w:val="24"/>
        </w:rPr>
        <w:t>年；</w:t>
      </w:r>
    </w:p>
    <w:p w14:paraId="3CB97745">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装饰工程为</w:t>
      </w:r>
      <w:r>
        <w:rPr>
          <w:rFonts w:hint="eastAsia"/>
          <w:sz w:val="24"/>
          <w:szCs w:val="24"/>
          <w:lang w:val="en-US" w:eastAsia="zh-CN"/>
        </w:rPr>
        <w:t>3.5</w:t>
      </w:r>
      <w:r>
        <w:rPr>
          <w:rFonts w:hint="eastAsia"/>
          <w:sz w:val="24"/>
          <w:szCs w:val="24"/>
        </w:rPr>
        <w:t>年;</w:t>
      </w:r>
    </w:p>
    <w:p w14:paraId="2E1094F2">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其他工程为</w:t>
      </w:r>
      <w:r>
        <w:rPr>
          <w:rFonts w:hint="eastAsia"/>
          <w:sz w:val="24"/>
          <w:szCs w:val="24"/>
          <w:lang w:val="en-US" w:eastAsia="zh-CN"/>
        </w:rPr>
        <w:t>3.5</w:t>
      </w:r>
      <w:r>
        <w:rPr>
          <w:rFonts w:hint="eastAsia"/>
          <w:sz w:val="24"/>
          <w:szCs w:val="24"/>
        </w:rPr>
        <w:t>年；</w:t>
      </w:r>
    </w:p>
    <w:p w14:paraId="7DE0C07E">
      <w:pPr>
        <w:pStyle w:val="4"/>
        <w:numPr>
          <w:ilvl w:val="2"/>
          <w:numId w:val="1"/>
        </w:numPr>
        <w:tabs>
          <w:tab w:val="left" w:pos="0"/>
          <w:tab w:val="left" w:pos="284"/>
          <w:tab w:val="left" w:pos="851"/>
        </w:tabs>
        <w:spacing w:line="360" w:lineRule="auto"/>
        <w:ind w:firstLineChars="0"/>
        <w:rPr>
          <w:sz w:val="24"/>
          <w:szCs w:val="24"/>
          <w:highlight w:val="yellow"/>
        </w:rPr>
      </w:pPr>
      <w:bookmarkStart w:id="0" w:name="_GoBack"/>
      <w:r>
        <w:rPr>
          <w:rFonts w:hint="eastAsia"/>
          <w:sz w:val="24"/>
          <w:szCs w:val="24"/>
          <w:highlight w:val="yellow"/>
          <w:lang w:val="en-US" w:eastAsia="zh-CN"/>
        </w:rPr>
        <w:t>钢结构工程为</w:t>
      </w:r>
    </w:p>
    <w:bookmarkEnd w:id="0"/>
    <w:p w14:paraId="7C21FC94">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维修工程的质保期时长参照同类工程，起算日期以维修结束时间起算。</w:t>
      </w:r>
    </w:p>
    <w:p w14:paraId="3F388B83">
      <w:pPr>
        <w:pStyle w:val="4"/>
        <w:numPr>
          <w:ilvl w:val="1"/>
          <w:numId w:val="1"/>
        </w:numPr>
        <w:spacing w:line="360" w:lineRule="auto"/>
        <w:ind w:firstLineChars="0"/>
        <w:rPr>
          <w:sz w:val="24"/>
          <w:szCs w:val="24"/>
        </w:rPr>
      </w:pPr>
      <w:r>
        <w:rPr>
          <w:rFonts w:hint="eastAsia"/>
          <w:sz w:val="24"/>
          <w:szCs w:val="24"/>
        </w:rPr>
        <w:t>保修期限内因承包人工程质量问题而保修的，相应部分的保修期从修复之日起重新计算，时间顺延。</w:t>
      </w:r>
    </w:p>
    <w:p w14:paraId="2F6B184A">
      <w:pPr>
        <w:pStyle w:val="4"/>
        <w:numPr>
          <w:ilvl w:val="1"/>
          <w:numId w:val="1"/>
        </w:numPr>
        <w:spacing w:line="360" w:lineRule="auto"/>
        <w:ind w:firstLineChars="0"/>
        <w:rPr>
          <w:sz w:val="24"/>
          <w:szCs w:val="24"/>
        </w:rPr>
      </w:pPr>
      <w:r>
        <w:rPr>
          <w:rFonts w:hint="eastAsia"/>
          <w:sz w:val="24"/>
          <w:szCs w:val="24"/>
        </w:rPr>
        <w:t>对于可判定问题出现在保修期内，但尚未暴露的质量问题，承包人的质保责任不受保修期期限限制。</w:t>
      </w:r>
    </w:p>
    <w:p w14:paraId="64AD103D">
      <w:pPr>
        <w:pStyle w:val="4"/>
        <w:numPr>
          <w:ilvl w:val="0"/>
          <w:numId w:val="1"/>
        </w:numPr>
        <w:spacing w:line="360" w:lineRule="auto"/>
        <w:ind w:firstLineChars="0"/>
        <w:rPr>
          <w:b/>
          <w:bCs/>
          <w:sz w:val="24"/>
          <w:szCs w:val="24"/>
        </w:rPr>
      </w:pPr>
      <w:r>
        <w:rPr>
          <w:rFonts w:hint="eastAsia"/>
          <w:b/>
          <w:bCs/>
          <w:sz w:val="24"/>
          <w:szCs w:val="24"/>
        </w:rPr>
        <w:t>维修通知方式</w:t>
      </w:r>
    </w:p>
    <w:p w14:paraId="2BD29B0A">
      <w:pPr>
        <w:pStyle w:val="4"/>
        <w:numPr>
          <w:ilvl w:val="1"/>
          <w:numId w:val="1"/>
        </w:numPr>
        <w:spacing w:line="360" w:lineRule="auto"/>
        <w:ind w:firstLineChars="0"/>
        <w:rPr>
          <w:b/>
          <w:bCs/>
          <w:sz w:val="24"/>
          <w:szCs w:val="24"/>
        </w:rPr>
      </w:pPr>
      <w:r>
        <w:rPr>
          <w:rFonts w:hint="eastAsia"/>
          <w:sz w:val="24"/>
          <w:szCs w:val="24"/>
        </w:rPr>
        <w:t>承包人应在该项目</w:t>
      </w:r>
      <w:r>
        <w:rPr>
          <w:sz w:val="24"/>
          <w:szCs w:val="24"/>
        </w:rPr>
        <w:t>集中交付</w:t>
      </w:r>
      <w:r>
        <w:rPr>
          <w:rFonts w:hint="eastAsia"/>
          <w:sz w:val="24"/>
          <w:szCs w:val="24"/>
        </w:rPr>
        <w:t>给购房人</w:t>
      </w:r>
      <w:r>
        <w:rPr>
          <w:sz w:val="24"/>
          <w:szCs w:val="24"/>
        </w:rPr>
        <w:t>前10天</w:t>
      </w:r>
      <w:r>
        <w:rPr>
          <w:rFonts w:hint="eastAsia"/>
          <w:sz w:val="24"/>
          <w:szCs w:val="24"/>
        </w:rPr>
        <w:t>提供承包人的联系方式（包括但不限于公司名称、地址、电子邮箱、保修负责人联系方式、微信等，具体详见附件二第六条的</w:t>
      </w:r>
      <w:r>
        <w:rPr>
          <w:rFonts w:hint="eastAsia" w:cs="Arial"/>
          <w:sz w:val="24"/>
          <w:szCs w:val="24"/>
        </w:rPr>
        <w:t>《保修</w:t>
      </w:r>
      <w:r>
        <w:rPr>
          <w:rFonts w:hint="eastAsia"/>
          <w:color w:val="000000"/>
          <w:sz w:val="24"/>
          <w:szCs w:val="24"/>
        </w:rPr>
        <w:t>联系方式确认表》</w:t>
      </w:r>
      <w:r>
        <w:rPr>
          <w:rFonts w:hint="eastAsia"/>
          <w:sz w:val="24"/>
          <w:szCs w:val="24"/>
        </w:rPr>
        <w:t>），若承包人未及时向发包人提供联系方式的，发包人有权以本合同所载承包人的任一联系方式作为通知承包人维修的有效方式。</w:t>
      </w:r>
    </w:p>
    <w:p w14:paraId="647C093E">
      <w:pPr>
        <w:pStyle w:val="4"/>
        <w:numPr>
          <w:ilvl w:val="1"/>
          <w:numId w:val="1"/>
        </w:numPr>
        <w:spacing w:line="360" w:lineRule="auto"/>
        <w:ind w:firstLineChars="0"/>
        <w:rPr>
          <w:sz w:val="24"/>
          <w:szCs w:val="24"/>
        </w:rPr>
      </w:pPr>
      <w:r>
        <w:rPr>
          <w:rFonts w:hint="eastAsia"/>
          <w:sz w:val="24"/>
          <w:szCs w:val="24"/>
        </w:rPr>
        <w:t>发包人可按3.1条所述承包人提供的任一联系方式向承包人发出维修通知（包括但不限于电话、微信、电子邮件、邮寄函件等），即为有效通知</w:t>
      </w:r>
      <w:r>
        <w:rPr>
          <w:sz w:val="24"/>
          <w:szCs w:val="24"/>
        </w:rPr>
        <w:t>。承包</w:t>
      </w:r>
      <w:r>
        <w:rPr>
          <w:rFonts w:hint="eastAsia"/>
          <w:sz w:val="24"/>
          <w:szCs w:val="24"/>
        </w:rPr>
        <w:t>人同意，发包人所发函件无须另行加盖发包人公章，而仅需发包人加盖发包人在该项目设立的保修中心印章。</w:t>
      </w:r>
    </w:p>
    <w:p w14:paraId="7B954A9B">
      <w:pPr>
        <w:pStyle w:val="4"/>
        <w:numPr>
          <w:ilvl w:val="1"/>
          <w:numId w:val="1"/>
        </w:numPr>
        <w:spacing w:line="360" w:lineRule="auto"/>
        <w:ind w:firstLineChars="0"/>
        <w:rPr>
          <w:b/>
          <w:bCs/>
          <w:sz w:val="24"/>
          <w:szCs w:val="24"/>
        </w:rPr>
      </w:pPr>
      <w:r>
        <w:rPr>
          <w:rFonts w:hint="eastAsia"/>
          <w:sz w:val="24"/>
          <w:szCs w:val="24"/>
        </w:rPr>
        <w:t>如承包人或其保修负责人的联系方式发生变更的，应立即书面通知发包人，否则，发包人按本合同所载联系方式或者承包人按照3.1条提供的联系方式向承包人发送的所有通知，仍视为有效通知，因此所产生的所有责任和费用（包括但不限于发包人据此启动第三方维保、第三方维保产生的费用等）由承包人承担，承包人对此无异议。</w:t>
      </w:r>
    </w:p>
    <w:p w14:paraId="13883FA7">
      <w:pPr>
        <w:pStyle w:val="4"/>
        <w:numPr>
          <w:ilvl w:val="0"/>
          <w:numId w:val="1"/>
        </w:numPr>
        <w:spacing w:line="360" w:lineRule="auto"/>
        <w:ind w:firstLineChars="0"/>
        <w:rPr>
          <w:b/>
          <w:bCs/>
          <w:sz w:val="24"/>
          <w:szCs w:val="24"/>
        </w:rPr>
      </w:pPr>
      <w:r>
        <w:rPr>
          <w:rFonts w:hint="eastAsia"/>
          <w:b/>
          <w:bCs/>
          <w:sz w:val="24"/>
          <w:szCs w:val="24"/>
        </w:rPr>
        <w:t>工程质量保修责任</w:t>
      </w:r>
    </w:p>
    <w:p w14:paraId="2552C02E">
      <w:pPr>
        <w:pStyle w:val="4"/>
        <w:numPr>
          <w:ilvl w:val="1"/>
          <w:numId w:val="1"/>
        </w:numPr>
        <w:spacing w:line="360" w:lineRule="auto"/>
        <w:ind w:firstLineChars="0"/>
        <w:rPr>
          <w:sz w:val="24"/>
          <w:szCs w:val="24"/>
        </w:rPr>
      </w:pPr>
      <w:r>
        <w:rPr>
          <w:rFonts w:hint="eastAsia"/>
          <w:sz w:val="24"/>
          <w:szCs w:val="24"/>
        </w:rPr>
        <w:t>因工程质量问题对发包人、购房人或其他相关方利益构成损害的，承包人除履行修复义务外，也须承担相关损害带来的损失，包括但不限于：</w:t>
      </w:r>
    </w:p>
    <w:p w14:paraId="6109648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工程质量问题造成的人身伤害、财产损失；</w:t>
      </w:r>
    </w:p>
    <w:p w14:paraId="50A9B795">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维修期间的维修费、成品保护费、物业管理费、水电费、配合维修的误工费、租房费、家具电器寄存费、鉴定费等；</w:t>
      </w:r>
    </w:p>
    <w:p w14:paraId="683B87A0">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因质量问题导致发包人无法履行交楼义务的损失（包括但不限于发包人需向购房人支付的各种形式的违约金、赔偿金、补偿金等）。</w:t>
      </w:r>
    </w:p>
    <w:p w14:paraId="52EE3571">
      <w:pPr>
        <w:pStyle w:val="4"/>
        <w:numPr>
          <w:ilvl w:val="1"/>
          <w:numId w:val="1"/>
        </w:numPr>
        <w:spacing w:line="360" w:lineRule="auto"/>
        <w:ind w:firstLineChars="0"/>
        <w:rPr>
          <w:b/>
          <w:bCs/>
          <w:sz w:val="24"/>
          <w:szCs w:val="24"/>
        </w:rPr>
      </w:pPr>
      <w:r>
        <w:rPr>
          <w:rFonts w:hint="eastAsia"/>
          <w:b/>
          <w:bCs/>
          <w:sz w:val="24"/>
          <w:szCs w:val="24"/>
        </w:rPr>
        <w:t>赔偿责任</w:t>
      </w:r>
    </w:p>
    <w:p w14:paraId="5AC9C62B">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由于承包人工程质量问题造成发包人和购房人的直接损失和间接损失，由承包人负责赔偿；承包人未按照合同进行保修，或维修两次（含两次）以上仍不能解决问题等原因，购房人向发包人提出索赔，发包人与购房人进行索赔谈判，谈判结果经发包人和购房人签字盖章后立即生效，发包人有义务知会承包人，承包人予以无条件承认；发包人有权要求承包人代为支付给购房人，承包人不按要求支付的，发包人有权直接从承包人的结算款或保修金中扣除；</w:t>
      </w:r>
    </w:p>
    <w:p w14:paraId="72B69B3E">
      <w:pPr>
        <w:pStyle w:val="4"/>
        <w:numPr>
          <w:ilvl w:val="1"/>
          <w:numId w:val="1"/>
        </w:numPr>
        <w:spacing w:line="360" w:lineRule="auto"/>
        <w:ind w:firstLineChars="0"/>
        <w:rPr>
          <w:sz w:val="24"/>
          <w:szCs w:val="24"/>
        </w:rPr>
      </w:pPr>
      <w:r>
        <w:rPr>
          <w:rFonts w:hint="eastAsia"/>
          <w:sz w:val="24"/>
          <w:szCs w:val="24"/>
        </w:rPr>
        <w:t>保修责任与争议处理：若双方对保修责任界定存在争议，采用如下办法处理：</w:t>
      </w:r>
    </w:p>
    <w:p w14:paraId="31AABC87">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责任认定由发包人主导，可采用拍照、摄像、取样的记录（如发包人委托的施工单位或住户签字资料等）作为辅助认定的资料；承包人可参与核实，但如承包人未到场核实的，不影响发包人认定结果的有效性；</w:t>
      </w:r>
      <w:r>
        <w:rPr>
          <w:sz w:val="24"/>
          <w:szCs w:val="24"/>
        </w:rPr>
        <w:t xml:space="preserve"> </w:t>
      </w:r>
    </w:p>
    <w:p w14:paraId="2F0D0DA3">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对责任认定有争议，均由承包人提供证据（包括但不限于根据设计要求于施工前对设计方案提出优化建议但未被发包人采纳的材料、核定单、其他书面依据）证明其无过错，否则承包人须按本条款约定履行维修责任；</w:t>
      </w:r>
    </w:p>
    <w:p w14:paraId="525DD32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本工程质量保修书范围的任何事故，如可能造成人身损害或财产损失的，发包人有权立即采取相应措施防止损害发生或扩大，由此所发生的一切费用及责任由承包人承担；</w:t>
      </w:r>
    </w:p>
    <w:p w14:paraId="11B1035D">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在国家规定的工程合理使用期限内，出现结构安全质量问题的，发包人有权立即向当地建设行政主管部门报告，并自行或责令承包人采取安全防范措施；由原设计单位或者具有相应资质等级的设计单位提出保修方案，承包人实施修复。</w:t>
      </w:r>
    </w:p>
    <w:p w14:paraId="58622C4E">
      <w:pPr>
        <w:pStyle w:val="4"/>
        <w:numPr>
          <w:ilvl w:val="0"/>
          <w:numId w:val="1"/>
        </w:numPr>
        <w:spacing w:line="360" w:lineRule="auto"/>
        <w:ind w:firstLineChars="0"/>
        <w:rPr>
          <w:b/>
          <w:bCs/>
          <w:sz w:val="24"/>
          <w:szCs w:val="24"/>
        </w:rPr>
      </w:pPr>
      <w:r>
        <w:rPr>
          <w:rFonts w:hint="eastAsia"/>
          <w:b/>
          <w:bCs/>
          <w:sz w:val="24"/>
          <w:szCs w:val="24"/>
        </w:rPr>
        <w:t>保修义务履行要求</w:t>
      </w:r>
    </w:p>
    <w:p w14:paraId="64E27DAC">
      <w:pPr>
        <w:pStyle w:val="4"/>
        <w:numPr>
          <w:ilvl w:val="1"/>
          <w:numId w:val="1"/>
        </w:numPr>
        <w:spacing w:line="360" w:lineRule="auto"/>
        <w:ind w:firstLineChars="0"/>
        <w:rPr>
          <w:rFonts w:cs="Arial"/>
          <w:sz w:val="24"/>
          <w:szCs w:val="24"/>
        </w:rPr>
      </w:pPr>
      <w:r>
        <w:rPr>
          <w:rFonts w:hint="eastAsia" w:cs="Arial"/>
          <w:sz w:val="24"/>
          <w:szCs w:val="24"/>
        </w:rPr>
        <w:t>承包人提供工程保修服务，</w:t>
      </w:r>
      <w:r>
        <w:rPr>
          <w:rFonts w:hint="eastAsia"/>
          <w:sz w:val="24"/>
          <w:szCs w:val="24"/>
        </w:rPr>
        <w:t>应配备足够的各专业维修人员及工具，服从发包人的管理，并</w:t>
      </w:r>
      <w:r>
        <w:rPr>
          <w:rFonts w:hint="eastAsia" w:cs="Arial"/>
          <w:sz w:val="24"/>
          <w:szCs w:val="24"/>
        </w:rPr>
        <w:t>应</w:t>
      </w:r>
      <w:r>
        <w:rPr>
          <w:rFonts w:hint="eastAsia"/>
          <w:sz w:val="24"/>
          <w:szCs w:val="24"/>
        </w:rPr>
        <w:t>参照</w:t>
      </w:r>
      <w:r>
        <w:rPr>
          <w:rFonts w:hint="eastAsia" w:cs="Arial"/>
          <w:sz w:val="24"/>
          <w:szCs w:val="24"/>
        </w:rPr>
        <w:t>本合同附件二《工程保修管理制度补充说明》所约定的服务标准提供服务。</w:t>
      </w:r>
    </w:p>
    <w:p w14:paraId="75213E3A">
      <w:pPr>
        <w:pStyle w:val="4"/>
        <w:numPr>
          <w:ilvl w:val="1"/>
          <w:numId w:val="1"/>
        </w:numPr>
        <w:spacing w:line="360" w:lineRule="auto"/>
        <w:ind w:firstLineChars="0"/>
        <w:rPr>
          <w:rFonts w:cs="Arial"/>
          <w:sz w:val="24"/>
          <w:szCs w:val="24"/>
        </w:rPr>
      </w:pPr>
      <w:r>
        <w:rPr>
          <w:rFonts w:hint="eastAsia"/>
          <w:sz w:val="24"/>
          <w:szCs w:val="24"/>
        </w:rPr>
        <w:t>承包人保修的修复效果应达到合同约定的产品验收标准。</w:t>
      </w:r>
    </w:p>
    <w:p w14:paraId="20A46AD4">
      <w:pPr>
        <w:pStyle w:val="4"/>
        <w:numPr>
          <w:ilvl w:val="1"/>
          <w:numId w:val="1"/>
        </w:numPr>
        <w:spacing w:line="360" w:lineRule="auto"/>
        <w:ind w:firstLineChars="0"/>
        <w:rPr>
          <w:rFonts w:cs="Arial"/>
          <w:sz w:val="24"/>
          <w:szCs w:val="24"/>
        </w:rPr>
      </w:pPr>
      <w:r>
        <w:rPr>
          <w:rFonts w:hint="eastAsia"/>
          <w:sz w:val="24"/>
          <w:szCs w:val="24"/>
        </w:rPr>
        <w:t>承包人保修使用的维修材料应使用原有品牌及型号，集中交付前，承包人须按不少于总采购量的2%的材料进行备货，并由发包人进行出入库统一管理；保修期内，发包人有权根据现场维修问题的发生比率，要求承包人补充备货，承包人应给与配合。</w:t>
      </w:r>
    </w:p>
    <w:p w14:paraId="7BCA5E45">
      <w:pPr>
        <w:pStyle w:val="4"/>
        <w:numPr>
          <w:ilvl w:val="1"/>
          <w:numId w:val="1"/>
        </w:numPr>
        <w:spacing w:line="360" w:lineRule="auto"/>
        <w:ind w:firstLineChars="0"/>
        <w:rPr>
          <w:rFonts w:cs="Arial"/>
          <w:sz w:val="24"/>
          <w:szCs w:val="24"/>
        </w:rPr>
      </w:pPr>
      <w:r>
        <w:rPr>
          <w:rFonts w:hint="eastAsia" w:cs="Arial"/>
          <w:sz w:val="24"/>
          <w:szCs w:val="24"/>
        </w:rPr>
        <w:t>维修时限要求</w:t>
      </w:r>
    </w:p>
    <w:tbl>
      <w:tblPr>
        <w:tblStyle w:val="2"/>
        <w:tblW w:w="8522" w:type="dxa"/>
        <w:tblInd w:w="0" w:type="dxa"/>
        <w:tblLayout w:type="fixed"/>
        <w:tblCellMar>
          <w:top w:w="0" w:type="dxa"/>
          <w:left w:w="108" w:type="dxa"/>
          <w:bottom w:w="0" w:type="dxa"/>
          <w:right w:w="108" w:type="dxa"/>
        </w:tblCellMar>
      </w:tblPr>
      <w:tblGrid>
        <w:gridCol w:w="1268"/>
        <w:gridCol w:w="3537"/>
        <w:gridCol w:w="1132"/>
        <w:gridCol w:w="1273"/>
        <w:gridCol w:w="1312"/>
      </w:tblGrid>
      <w:tr w14:paraId="2FDBBC18">
        <w:tblPrEx>
          <w:tblCellMar>
            <w:top w:w="0" w:type="dxa"/>
            <w:left w:w="108" w:type="dxa"/>
            <w:bottom w:w="0" w:type="dxa"/>
            <w:right w:w="108" w:type="dxa"/>
          </w:tblCellMar>
        </w:tblPrEx>
        <w:trPr>
          <w:trHeight w:val="420" w:hRule="atLeast"/>
        </w:trPr>
        <w:tc>
          <w:tcPr>
            <w:tcW w:w="1268" w:type="dxa"/>
            <w:tcBorders>
              <w:top w:val="single" w:color="auto" w:sz="4" w:space="0"/>
              <w:left w:val="single" w:color="auto" w:sz="4" w:space="0"/>
              <w:bottom w:val="single" w:color="auto" w:sz="4" w:space="0"/>
              <w:right w:val="single" w:color="auto" w:sz="4" w:space="0"/>
            </w:tcBorders>
            <w:shd w:val="clear" w:color="auto" w:fill="auto"/>
            <w:vAlign w:val="center"/>
          </w:tcPr>
          <w:p w14:paraId="060A7A09">
            <w:pPr>
              <w:widowControl/>
              <w:jc w:val="center"/>
              <w:rPr>
                <w:b/>
                <w:bCs/>
                <w:sz w:val="24"/>
                <w:szCs w:val="24"/>
              </w:rPr>
            </w:pPr>
            <w:r>
              <w:rPr>
                <w:rFonts w:hint="eastAsia"/>
                <w:b/>
                <w:bCs/>
                <w:sz w:val="24"/>
                <w:szCs w:val="24"/>
              </w:rPr>
              <w:t>维修分类</w:t>
            </w:r>
          </w:p>
        </w:tc>
        <w:tc>
          <w:tcPr>
            <w:tcW w:w="3537" w:type="dxa"/>
            <w:tcBorders>
              <w:top w:val="single" w:color="auto" w:sz="4" w:space="0"/>
              <w:left w:val="nil"/>
              <w:bottom w:val="single" w:color="auto" w:sz="4" w:space="0"/>
              <w:right w:val="single" w:color="auto" w:sz="4" w:space="0"/>
            </w:tcBorders>
            <w:shd w:val="clear" w:color="auto" w:fill="auto"/>
            <w:vAlign w:val="center"/>
          </w:tcPr>
          <w:p w14:paraId="70BB1795">
            <w:pPr>
              <w:widowControl/>
              <w:jc w:val="center"/>
              <w:rPr>
                <w:b/>
                <w:bCs/>
                <w:sz w:val="24"/>
                <w:szCs w:val="24"/>
              </w:rPr>
            </w:pPr>
            <w:r>
              <w:rPr>
                <w:rFonts w:hint="eastAsia"/>
                <w:b/>
                <w:bCs/>
                <w:sz w:val="24"/>
                <w:szCs w:val="24"/>
              </w:rPr>
              <w:t>定义</w:t>
            </w:r>
          </w:p>
        </w:tc>
        <w:tc>
          <w:tcPr>
            <w:tcW w:w="1132" w:type="dxa"/>
            <w:tcBorders>
              <w:top w:val="single" w:color="auto" w:sz="4" w:space="0"/>
              <w:left w:val="nil"/>
              <w:bottom w:val="single" w:color="auto" w:sz="4" w:space="0"/>
              <w:right w:val="single" w:color="auto" w:sz="4" w:space="0"/>
            </w:tcBorders>
            <w:shd w:val="clear" w:color="auto" w:fill="auto"/>
            <w:vAlign w:val="center"/>
          </w:tcPr>
          <w:p w14:paraId="09D6C7D2">
            <w:pPr>
              <w:widowControl/>
              <w:jc w:val="center"/>
              <w:rPr>
                <w:b/>
                <w:bCs/>
                <w:sz w:val="24"/>
                <w:szCs w:val="24"/>
              </w:rPr>
            </w:pPr>
            <w:r>
              <w:rPr>
                <w:rFonts w:hint="eastAsia"/>
                <w:b/>
                <w:bCs/>
                <w:sz w:val="24"/>
                <w:szCs w:val="24"/>
              </w:rPr>
              <w:t>到场时间</w:t>
            </w:r>
          </w:p>
        </w:tc>
        <w:tc>
          <w:tcPr>
            <w:tcW w:w="1273" w:type="dxa"/>
            <w:tcBorders>
              <w:top w:val="single" w:color="auto" w:sz="4" w:space="0"/>
              <w:left w:val="nil"/>
              <w:bottom w:val="single" w:color="auto" w:sz="4" w:space="0"/>
              <w:right w:val="single" w:color="auto" w:sz="4" w:space="0"/>
            </w:tcBorders>
            <w:shd w:val="clear" w:color="auto" w:fill="auto"/>
            <w:vAlign w:val="center"/>
          </w:tcPr>
          <w:p w14:paraId="473FA528">
            <w:pPr>
              <w:widowControl/>
              <w:jc w:val="center"/>
              <w:rPr>
                <w:b/>
                <w:bCs/>
                <w:sz w:val="24"/>
                <w:szCs w:val="24"/>
              </w:rPr>
            </w:pPr>
            <w:r>
              <w:rPr>
                <w:rFonts w:hint="eastAsia"/>
                <w:b/>
                <w:bCs/>
                <w:sz w:val="24"/>
                <w:szCs w:val="24"/>
              </w:rPr>
              <w:t>确认方案</w:t>
            </w:r>
          </w:p>
        </w:tc>
        <w:tc>
          <w:tcPr>
            <w:tcW w:w="1312" w:type="dxa"/>
            <w:tcBorders>
              <w:top w:val="single" w:color="auto" w:sz="4" w:space="0"/>
              <w:left w:val="nil"/>
              <w:bottom w:val="single" w:color="auto" w:sz="4" w:space="0"/>
              <w:right w:val="single" w:color="auto" w:sz="4" w:space="0"/>
            </w:tcBorders>
            <w:shd w:val="clear" w:color="auto" w:fill="auto"/>
            <w:vAlign w:val="center"/>
          </w:tcPr>
          <w:p w14:paraId="2B6DEE6D">
            <w:pPr>
              <w:widowControl/>
              <w:jc w:val="center"/>
              <w:rPr>
                <w:b/>
                <w:bCs/>
                <w:sz w:val="24"/>
                <w:szCs w:val="24"/>
              </w:rPr>
            </w:pPr>
            <w:r>
              <w:rPr>
                <w:rFonts w:hint="eastAsia"/>
                <w:b/>
                <w:bCs/>
                <w:sz w:val="24"/>
                <w:szCs w:val="24"/>
              </w:rPr>
              <w:t>完成时间</w:t>
            </w:r>
          </w:p>
        </w:tc>
      </w:tr>
      <w:tr w14:paraId="6EE6589E">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2670D616">
            <w:pPr>
              <w:widowControl/>
              <w:jc w:val="center"/>
              <w:rPr>
                <w:sz w:val="24"/>
                <w:szCs w:val="24"/>
              </w:rPr>
            </w:pPr>
            <w:r>
              <w:rPr>
                <w:rFonts w:hint="eastAsia"/>
                <w:sz w:val="24"/>
                <w:szCs w:val="24"/>
              </w:rPr>
              <w:t>一般维修</w:t>
            </w:r>
          </w:p>
        </w:tc>
        <w:tc>
          <w:tcPr>
            <w:tcW w:w="3537" w:type="dxa"/>
            <w:tcBorders>
              <w:top w:val="nil"/>
              <w:left w:val="nil"/>
              <w:bottom w:val="single" w:color="auto" w:sz="4" w:space="0"/>
              <w:right w:val="single" w:color="auto" w:sz="4" w:space="0"/>
            </w:tcBorders>
            <w:shd w:val="clear" w:color="auto" w:fill="auto"/>
            <w:vAlign w:val="center"/>
          </w:tcPr>
          <w:p w14:paraId="78825912">
            <w:pPr>
              <w:widowControl/>
              <w:rPr>
                <w:sz w:val="24"/>
                <w:szCs w:val="24"/>
              </w:rPr>
            </w:pPr>
            <w:r>
              <w:rPr>
                <w:rFonts w:hint="eastAsia"/>
                <w:sz w:val="24"/>
                <w:szCs w:val="24"/>
              </w:rPr>
              <w:t>简单常规、对时效性要求相对低的维修</w:t>
            </w:r>
          </w:p>
        </w:tc>
        <w:tc>
          <w:tcPr>
            <w:tcW w:w="1132" w:type="dxa"/>
            <w:tcBorders>
              <w:top w:val="nil"/>
              <w:left w:val="nil"/>
              <w:bottom w:val="single" w:color="auto" w:sz="4" w:space="0"/>
              <w:right w:val="single" w:color="auto" w:sz="4" w:space="0"/>
            </w:tcBorders>
            <w:shd w:val="clear" w:color="auto" w:fill="auto"/>
            <w:vAlign w:val="center"/>
          </w:tcPr>
          <w:p w14:paraId="5A4FA13B">
            <w:pPr>
              <w:widowControl/>
              <w:jc w:val="center"/>
              <w:rPr>
                <w:sz w:val="24"/>
                <w:szCs w:val="24"/>
              </w:rPr>
            </w:pPr>
            <w:r>
              <w:rPr>
                <w:rFonts w:hint="eastAsia"/>
                <w:sz w:val="24"/>
                <w:szCs w:val="24"/>
              </w:rPr>
              <w:t>12小时</w:t>
            </w:r>
          </w:p>
        </w:tc>
        <w:tc>
          <w:tcPr>
            <w:tcW w:w="1273" w:type="dxa"/>
            <w:tcBorders>
              <w:top w:val="nil"/>
              <w:left w:val="nil"/>
              <w:bottom w:val="single" w:color="auto" w:sz="4" w:space="0"/>
              <w:right w:val="single" w:color="auto" w:sz="4" w:space="0"/>
            </w:tcBorders>
            <w:shd w:val="clear" w:color="auto" w:fill="auto"/>
            <w:vAlign w:val="center"/>
          </w:tcPr>
          <w:p w14:paraId="5566BB1D">
            <w:pPr>
              <w:widowControl/>
              <w:jc w:val="center"/>
              <w:rPr>
                <w:sz w:val="24"/>
                <w:szCs w:val="24"/>
              </w:rPr>
            </w:pPr>
            <w:r>
              <w:rPr>
                <w:rFonts w:hint="eastAsia"/>
                <w:sz w:val="24"/>
                <w:szCs w:val="24"/>
              </w:rPr>
              <w:t>24小时</w:t>
            </w:r>
          </w:p>
        </w:tc>
        <w:tc>
          <w:tcPr>
            <w:tcW w:w="1312" w:type="dxa"/>
            <w:tcBorders>
              <w:top w:val="nil"/>
              <w:left w:val="nil"/>
              <w:bottom w:val="single" w:color="auto" w:sz="4" w:space="0"/>
              <w:right w:val="single" w:color="auto" w:sz="4" w:space="0"/>
            </w:tcBorders>
            <w:shd w:val="clear" w:color="auto" w:fill="auto"/>
            <w:vAlign w:val="center"/>
          </w:tcPr>
          <w:p w14:paraId="1810F5D6">
            <w:pPr>
              <w:widowControl/>
              <w:jc w:val="center"/>
              <w:rPr>
                <w:sz w:val="24"/>
                <w:szCs w:val="24"/>
              </w:rPr>
            </w:pPr>
            <w:r>
              <w:rPr>
                <w:rFonts w:hint="eastAsia"/>
                <w:sz w:val="24"/>
                <w:szCs w:val="24"/>
              </w:rPr>
              <w:t>5天内</w:t>
            </w:r>
          </w:p>
        </w:tc>
      </w:tr>
      <w:tr w14:paraId="61641789">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32C3D2CA">
            <w:pPr>
              <w:widowControl/>
              <w:jc w:val="center"/>
              <w:rPr>
                <w:sz w:val="24"/>
                <w:szCs w:val="24"/>
              </w:rPr>
            </w:pPr>
            <w:r>
              <w:rPr>
                <w:rFonts w:hint="eastAsia"/>
                <w:sz w:val="24"/>
                <w:szCs w:val="24"/>
              </w:rPr>
              <w:t>复杂维修</w:t>
            </w:r>
          </w:p>
        </w:tc>
        <w:tc>
          <w:tcPr>
            <w:tcW w:w="3537" w:type="dxa"/>
            <w:tcBorders>
              <w:top w:val="nil"/>
              <w:left w:val="nil"/>
              <w:bottom w:val="single" w:color="auto" w:sz="4" w:space="0"/>
              <w:right w:val="single" w:color="auto" w:sz="4" w:space="0"/>
            </w:tcBorders>
            <w:shd w:val="clear" w:color="auto" w:fill="auto"/>
            <w:vAlign w:val="center"/>
          </w:tcPr>
          <w:p w14:paraId="275E05B6">
            <w:pPr>
              <w:widowControl/>
              <w:rPr>
                <w:sz w:val="24"/>
                <w:szCs w:val="24"/>
              </w:rPr>
            </w:pPr>
            <w:r>
              <w:rPr>
                <w:sz w:val="24"/>
                <w:szCs w:val="24"/>
              </w:rPr>
              <w:t>满足以下任一情况的</w:t>
            </w:r>
            <w:r>
              <w:rPr>
                <w:rFonts w:hint="eastAsia"/>
                <w:sz w:val="24"/>
                <w:szCs w:val="24"/>
              </w:rPr>
              <w:t>：</w:t>
            </w:r>
          </w:p>
          <w:p w14:paraId="76F2CB32">
            <w:pPr>
              <w:pStyle w:val="4"/>
              <w:widowControl/>
              <w:numPr>
                <w:ilvl w:val="0"/>
                <w:numId w:val="2"/>
              </w:numPr>
              <w:ind w:firstLineChars="0"/>
              <w:jc w:val="left"/>
              <w:rPr>
                <w:sz w:val="24"/>
                <w:szCs w:val="24"/>
              </w:rPr>
            </w:pPr>
            <w:r>
              <w:rPr>
                <w:rFonts w:hint="eastAsia"/>
                <w:sz w:val="24"/>
                <w:szCs w:val="24"/>
              </w:rPr>
              <w:t>工序需要三次（含）以上上门服务</w:t>
            </w:r>
          </w:p>
          <w:p w14:paraId="25F45644">
            <w:pPr>
              <w:pStyle w:val="4"/>
              <w:widowControl/>
              <w:numPr>
                <w:ilvl w:val="0"/>
                <w:numId w:val="2"/>
              </w:numPr>
              <w:ind w:firstLineChars="0"/>
              <w:jc w:val="left"/>
              <w:rPr>
                <w:sz w:val="24"/>
                <w:szCs w:val="24"/>
              </w:rPr>
            </w:pPr>
            <w:r>
              <w:rPr>
                <w:sz w:val="24"/>
                <w:szCs w:val="24"/>
              </w:rPr>
              <w:t>涉及材料更换且无法日常备货</w:t>
            </w:r>
          </w:p>
        </w:tc>
        <w:tc>
          <w:tcPr>
            <w:tcW w:w="1132" w:type="dxa"/>
            <w:tcBorders>
              <w:top w:val="nil"/>
              <w:left w:val="nil"/>
              <w:bottom w:val="single" w:color="auto" w:sz="4" w:space="0"/>
              <w:right w:val="single" w:color="auto" w:sz="4" w:space="0"/>
            </w:tcBorders>
            <w:shd w:val="clear" w:color="auto" w:fill="auto"/>
            <w:vAlign w:val="center"/>
          </w:tcPr>
          <w:p w14:paraId="79802646">
            <w:pPr>
              <w:widowControl/>
              <w:jc w:val="center"/>
              <w:rPr>
                <w:sz w:val="24"/>
                <w:szCs w:val="24"/>
              </w:rPr>
            </w:pPr>
            <w:r>
              <w:rPr>
                <w:rFonts w:hint="eastAsia"/>
                <w:sz w:val="24"/>
                <w:szCs w:val="24"/>
              </w:rPr>
              <w:t>12小时</w:t>
            </w:r>
          </w:p>
        </w:tc>
        <w:tc>
          <w:tcPr>
            <w:tcW w:w="1273" w:type="dxa"/>
            <w:tcBorders>
              <w:top w:val="nil"/>
              <w:left w:val="nil"/>
              <w:bottom w:val="single" w:color="auto" w:sz="4" w:space="0"/>
              <w:right w:val="single" w:color="auto" w:sz="4" w:space="0"/>
            </w:tcBorders>
            <w:shd w:val="clear" w:color="auto" w:fill="auto"/>
            <w:vAlign w:val="center"/>
          </w:tcPr>
          <w:p w14:paraId="7945BC31">
            <w:pPr>
              <w:widowControl/>
              <w:jc w:val="center"/>
              <w:rPr>
                <w:sz w:val="24"/>
                <w:szCs w:val="24"/>
              </w:rPr>
            </w:pPr>
            <w:r>
              <w:rPr>
                <w:rFonts w:hint="eastAsia"/>
                <w:sz w:val="24"/>
                <w:szCs w:val="24"/>
              </w:rPr>
              <w:t>24小时</w:t>
            </w:r>
          </w:p>
        </w:tc>
        <w:tc>
          <w:tcPr>
            <w:tcW w:w="1312" w:type="dxa"/>
            <w:tcBorders>
              <w:top w:val="nil"/>
              <w:left w:val="nil"/>
              <w:bottom w:val="single" w:color="auto" w:sz="4" w:space="0"/>
              <w:right w:val="single" w:color="auto" w:sz="4" w:space="0"/>
            </w:tcBorders>
            <w:shd w:val="clear" w:color="auto" w:fill="auto"/>
            <w:vAlign w:val="center"/>
          </w:tcPr>
          <w:p w14:paraId="5754922D">
            <w:pPr>
              <w:widowControl/>
              <w:jc w:val="center"/>
              <w:rPr>
                <w:sz w:val="24"/>
                <w:szCs w:val="24"/>
              </w:rPr>
            </w:pPr>
            <w:r>
              <w:rPr>
                <w:rFonts w:hint="eastAsia"/>
                <w:sz w:val="24"/>
                <w:szCs w:val="24"/>
              </w:rPr>
              <w:t>10天内</w:t>
            </w:r>
          </w:p>
        </w:tc>
      </w:tr>
      <w:tr w14:paraId="21C55C32">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27310BE3">
            <w:pPr>
              <w:widowControl/>
              <w:jc w:val="center"/>
              <w:rPr>
                <w:sz w:val="24"/>
                <w:szCs w:val="24"/>
              </w:rPr>
            </w:pPr>
            <w:r>
              <w:rPr>
                <w:rFonts w:hint="eastAsia"/>
                <w:sz w:val="24"/>
                <w:szCs w:val="24"/>
              </w:rPr>
              <w:t>紧急维修</w:t>
            </w:r>
          </w:p>
        </w:tc>
        <w:tc>
          <w:tcPr>
            <w:tcW w:w="3537" w:type="dxa"/>
            <w:tcBorders>
              <w:top w:val="nil"/>
              <w:left w:val="nil"/>
              <w:bottom w:val="single" w:color="auto" w:sz="4" w:space="0"/>
              <w:right w:val="single" w:color="auto" w:sz="4" w:space="0"/>
            </w:tcBorders>
            <w:shd w:val="clear" w:color="auto" w:fill="auto"/>
            <w:vAlign w:val="center"/>
          </w:tcPr>
          <w:p w14:paraId="2F680A34">
            <w:pPr>
              <w:widowControl/>
              <w:rPr>
                <w:sz w:val="24"/>
                <w:szCs w:val="24"/>
              </w:rPr>
            </w:pPr>
            <w:r>
              <w:rPr>
                <w:sz w:val="24"/>
                <w:szCs w:val="24"/>
              </w:rPr>
              <w:t>满足以下任一情况之一的</w:t>
            </w:r>
            <w:r>
              <w:rPr>
                <w:rFonts w:hint="eastAsia"/>
                <w:sz w:val="24"/>
                <w:szCs w:val="24"/>
              </w:rPr>
              <w:t>：</w:t>
            </w:r>
          </w:p>
          <w:p w14:paraId="2854AE44">
            <w:pPr>
              <w:pStyle w:val="4"/>
              <w:widowControl/>
              <w:numPr>
                <w:ilvl w:val="0"/>
                <w:numId w:val="3"/>
              </w:numPr>
              <w:ind w:firstLineChars="0"/>
              <w:jc w:val="left"/>
              <w:rPr>
                <w:sz w:val="24"/>
                <w:szCs w:val="24"/>
              </w:rPr>
            </w:pPr>
            <w:r>
              <w:rPr>
                <w:rFonts w:hint="eastAsia"/>
                <w:sz w:val="24"/>
                <w:szCs w:val="24"/>
              </w:rPr>
              <w:t>涉及人身安全</w:t>
            </w:r>
          </w:p>
          <w:p w14:paraId="2A6AC735">
            <w:pPr>
              <w:pStyle w:val="4"/>
              <w:widowControl/>
              <w:numPr>
                <w:ilvl w:val="0"/>
                <w:numId w:val="3"/>
              </w:numPr>
              <w:ind w:firstLineChars="0"/>
              <w:jc w:val="left"/>
              <w:rPr>
                <w:sz w:val="24"/>
                <w:szCs w:val="24"/>
              </w:rPr>
            </w:pPr>
            <w:r>
              <w:rPr>
                <w:rFonts w:hint="eastAsia"/>
                <w:sz w:val="24"/>
                <w:szCs w:val="24"/>
              </w:rPr>
              <w:t>影响</w:t>
            </w:r>
            <w:r>
              <w:rPr>
                <w:sz w:val="24"/>
                <w:szCs w:val="24"/>
              </w:rPr>
              <w:t>正常居住生活</w:t>
            </w:r>
          </w:p>
          <w:p w14:paraId="3612B8E7">
            <w:pPr>
              <w:pStyle w:val="4"/>
              <w:widowControl/>
              <w:numPr>
                <w:ilvl w:val="0"/>
                <w:numId w:val="3"/>
              </w:numPr>
              <w:ind w:firstLineChars="0"/>
              <w:jc w:val="left"/>
              <w:rPr>
                <w:sz w:val="24"/>
                <w:szCs w:val="24"/>
              </w:rPr>
            </w:pPr>
            <w:r>
              <w:rPr>
                <w:sz w:val="24"/>
                <w:szCs w:val="24"/>
              </w:rPr>
              <w:t>如不处理</w:t>
            </w:r>
            <w:r>
              <w:rPr>
                <w:rFonts w:hint="eastAsia"/>
                <w:sz w:val="24"/>
                <w:szCs w:val="24"/>
              </w:rPr>
              <w:t>，</w:t>
            </w:r>
            <w:r>
              <w:rPr>
                <w:sz w:val="24"/>
                <w:szCs w:val="24"/>
              </w:rPr>
              <w:t>损失可能迅速扩大</w:t>
            </w:r>
          </w:p>
        </w:tc>
        <w:tc>
          <w:tcPr>
            <w:tcW w:w="1132" w:type="dxa"/>
            <w:tcBorders>
              <w:top w:val="nil"/>
              <w:left w:val="nil"/>
              <w:bottom w:val="single" w:color="auto" w:sz="4" w:space="0"/>
              <w:right w:val="single" w:color="auto" w:sz="4" w:space="0"/>
            </w:tcBorders>
            <w:shd w:val="clear" w:color="auto" w:fill="auto"/>
            <w:vAlign w:val="center"/>
          </w:tcPr>
          <w:p w14:paraId="43DA9D1C">
            <w:pPr>
              <w:widowControl/>
              <w:jc w:val="center"/>
              <w:rPr>
                <w:sz w:val="24"/>
                <w:szCs w:val="24"/>
              </w:rPr>
            </w:pPr>
            <w:r>
              <w:rPr>
                <w:rFonts w:hint="eastAsia"/>
                <w:sz w:val="24"/>
                <w:szCs w:val="24"/>
              </w:rPr>
              <w:t>2小时</w:t>
            </w:r>
          </w:p>
        </w:tc>
        <w:tc>
          <w:tcPr>
            <w:tcW w:w="1273" w:type="dxa"/>
            <w:tcBorders>
              <w:top w:val="nil"/>
              <w:left w:val="nil"/>
              <w:bottom w:val="single" w:color="auto" w:sz="4" w:space="0"/>
              <w:right w:val="single" w:color="auto" w:sz="4" w:space="0"/>
            </w:tcBorders>
            <w:shd w:val="clear" w:color="auto" w:fill="auto"/>
            <w:vAlign w:val="center"/>
          </w:tcPr>
          <w:p w14:paraId="4AD4BD5E">
            <w:pPr>
              <w:widowControl/>
              <w:jc w:val="center"/>
              <w:rPr>
                <w:sz w:val="24"/>
                <w:szCs w:val="24"/>
              </w:rPr>
            </w:pPr>
            <w:r>
              <w:rPr>
                <w:rFonts w:hint="eastAsia"/>
                <w:sz w:val="24"/>
                <w:szCs w:val="24"/>
              </w:rPr>
              <w:t>5小时</w:t>
            </w:r>
          </w:p>
        </w:tc>
        <w:tc>
          <w:tcPr>
            <w:tcW w:w="1312" w:type="dxa"/>
            <w:tcBorders>
              <w:top w:val="nil"/>
              <w:left w:val="nil"/>
              <w:bottom w:val="single" w:color="auto" w:sz="4" w:space="0"/>
              <w:right w:val="single" w:color="auto" w:sz="4" w:space="0"/>
            </w:tcBorders>
            <w:shd w:val="clear" w:color="auto" w:fill="auto"/>
            <w:vAlign w:val="center"/>
          </w:tcPr>
          <w:p w14:paraId="5CB1F692">
            <w:pPr>
              <w:widowControl/>
              <w:jc w:val="center"/>
              <w:rPr>
                <w:sz w:val="24"/>
                <w:szCs w:val="24"/>
              </w:rPr>
            </w:pPr>
            <w:r>
              <w:rPr>
                <w:rFonts w:hint="eastAsia"/>
                <w:sz w:val="24"/>
                <w:szCs w:val="24"/>
              </w:rPr>
              <w:t>7小时</w:t>
            </w:r>
          </w:p>
        </w:tc>
      </w:tr>
      <w:tr w14:paraId="0EF026B5">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30C33C8E">
            <w:pPr>
              <w:widowControl/>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重大维修</w:t>
            </w:r>
          </w:p>
        </w:tc>
        <w:tc>
          <w:tcPr>
            <w:tcW w:w="3537" w:type="dxa"/>
            <w:tcBorders>
              <w:top w:val="nil"/>
              <w:left w:val="nil"/>
              <w:bottom w:val="single" w:color="auto" w:sz="4" w:space="0"/>
              <w:right w:val="single" w:color="auto" w:sz="4" w:space="0"/>
            </w:tcBorders>
            <w:shd w:val="clear" w:color="auto" w:fill="auto"/>
            <w:vAlign w:val="center"/>
          </w:tcPr>
          <w:p w14:paraId="06C32B42">
            <w:pPr>
              <w:widowControl/>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复杂且紧急的维修</w:t>
            </w:r>
          </w:p>
        </w:tc>
        <w:tc>
          <w:tcPr>
            <w:tcW w:w="1132" w:type="dxa"/>
            <w:tcBorders>
              <w:top w:val="nil"/>
              <w:left w:val="nil"/>
              <w:bottom w:val="single" w:color="auto" w:sz="4" w:space="0"/>
              <w:right w:val="single" w:color="auto" w:sz="4" w:space="0"/>
            </w:tcBorders>
            <w:shd w:val="clear" w:color="auto" w:fill="auto"/>
            <w:vAlign w:val="center"/>
          </w:tcPr>
          <w:p w14:paraId="5670E5D6">
            <w:pPr>
              <w:widowControl/>
              <w:jc w:val="center"/>
              <w:rPr>
                <w:sz w:val="24"/>
                <w:szCs w:val="24"/>
              </w:rPr>
            </w:pPr>
            <w:r>
              <w:rPr>
                <w:rFonts w:hint="eastAsia"/>
                <w:sz w:val="24"/>
                <w:szCs w:val="24"/>
              </w:rPr>
              <w:t>2小时</w:t>
            </w:r>
          </w:p>
        </w:tc>
        <w:tc>
          <w:tcPr>
            <w:tcW w:w="1273" w:type="dxa"/>
            <w:tcBorders>
              <w:top w:val="nil"/>
              <w:left w:val="nil"/>
              <w:bottom w:val="single" w:color="auto" w:sz="4" w:space="0"/>
              <w:right w:val="single" w:color="auto" w:sz="4" w:space="0"/>
            </w:tcBorders>
            <w:shd w:val="clear" w:color="auto" w:fill="auto"/>
            <w:vAlign w:val="center"/>
          </w:tcPr>
          <w:p w14:paraId="57A29DD9">
            <w:pPr>
              <w:widowControl/>
              <w:jc w:val="center"/>
              <w:rPr>
                <w:sz w:val="24"/>
                <w:szCs w:val="24"/>
              </w:rPr>
            </w:pPr>
            <w:r>
              <w:rPr>
                <w:rFonts w:hint="eastAsia"/>
                <w:sz w:val="24"/>
                <w:szCs w:val="24"/>
              </w:rPr>
              <w:t>4小时</w:t>
            </w:r>
          </w:p>
        </w:tc>
        <w:tc>
          <w:tcPr>
            <w:tcW w:w="1312" w:type="dxa"/>
            <w:tcBorders>
              <w:top w:val="nil"/>
              <w:left w:val="nil"/>
              <w:bottom w:val="single" w:color="auto" w:sz="4" w:space="0"/>
              <w:right w:val="single" w:color="auto" w:sz="4" w:space="0"/>
            </w:tcBorders>
            <w:shd w:val="clear" w:color="auto" w:fill="auto"/>
            <w:vAlign w:val="center"/>
          </w:tcPr>
          <w:p w14:paraId="40B8ED09">
            <w:pPr>
              <w:widowControl/>
              <w:jc w:val="center"/>
              <w:rPr>
                <w:sz w:val="24"/>
                <w:szCs w:val="24"/>
              </w:rPr>
            </w:pPr>
            <w:r>
              <w:rPr>
                <w:rFonts w:hint="eastAsia"/>
                <w:sz w:val="24"/>
                <w:szCs w:val="24"/>
              </w:rPr>
              <w:t>7个小时止损，10天内完成</w:t>
            </w:r>
          </w:p>
        </w:tc>
      </w:tr>
    </w:tbl>
    <w:p w14:paraId="30810920">
      <w:pPr>
        <w:pStyle w:val="4"/>
        <w:spacing w:line="360" w:lineRule="auto"/>
        <w:ind w:left="567" w:firstLine="0" w:firstLineChars="0"/>
        <w:rPr>
          <w:rFonts w:cs="Arial"/>
          <w:sz w:val="24"/>
          <w:szCs w:val="24"/>
        </w:rPr>
      </w:pPr>
    </w:p>
    <w:p w14:paraId="0A3AFF5B">
      <w:pPr>
        <w:pStyle w:val="4"/>
        <w:numPr>
          <w:ilvl w:val="1"/>
          <w:numId w:val="1"/>
        </w:numPr>
        <w:spacing w:line="360" w:lineRule="auto"/>
        <w:ind w:firstLineChars="0"/>
        <w:rPr>
          <w:rFonts w:cs="Arial"/>
          <w:sz w:val="24"/>
          <w:szCs w:val="24"/>
        </w:rPr>
      </w:pPr>
      <w:r>
        <w:rPr>
          <w:rFonts w:cs="Arial"/>
          <w:sz w:val="24"/>
          <w:szCs w:val="24"/>
        </w:rPr>
        <w:t>有下列情形之一的，发包人有权安排第三方进行处理，所发生的一切费用由承包人承担，</w:t>
      </w:r>
      <w:r>
        <w:rPr>
          <w:rFonts w:hint="eastAsia" w:cs="Arial"/>
          <w:sz w:val="24"/>
          <w:szCs w:val="24"/>
        </w:rPr>
        <w:t>同时</w:t>
      </w:r>
      <w:r>
        <w:rPr>
          <w:rFonts w:cs="Arial"/>
          <w:sz w:val="24"/>
          <w:szCs w:val="24"/>
        </w:rPr>
        <w:t>发包人有权按实际维修费用</w:t>
      </w:r>
      <w:r>
        <w:rPr>
          <w:rFonts w:hint="eastAsia" w:cs="Arial"/>
          <w:sz w:val="24"/>
          <w:szCs w:val="24"/>
        </w:rPr>
        <w:t>及赔偿费用的2</w:t>
      </w:r>
      <w:r>
        <w:rPr>
          <w:rFonts w:cs="Arial"/>
          <w:sz w:val="24"/>
          <w:szCs w:val="24"/>
        </w:rPr>
        <w:t>0%</w:t>
      </w:r>
      <w:r>
        <w:rPr>
          <w:rFonts w:hint="eastAsia" w:cs="Arial"/>
          <w:sz w:val="24"/>
          <w:szCs w:val="24"/>
        </w:rPr>
        <w:t>收</w:t>
      </w:r>
      <w:r>
        <w:rPr>
          <w:rFonts w:cs="Arial"/>
          <w:sz w:val="24"/>
          <w:szCs w:val="24"/>
        </w:rPr>
        <w:t>取违约金</w:t>
      </w:r>
      <w:r>
        <w:rPr>
          <w:rFonts w:hint="eastAsia" w:cs="Arial"/>
          <w:sz w:val="24"/>
          <w:szCs w:val="24"/>
        </w:rPr>
        <w:t>：</w:t>
      </w:r>
      <w:r>
        <w:rPr>
          <w:rFonts w:cs="Arial"/>
          <w:sz w:val="24"/>
          <w:szCs w:val="24"/>
        </w:rPr>
        <w:t xml:space="preserve"> </w:t>
      </w:r>
    </w:p>
    <w:p w14:paraId="71F949A1">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承包人如未按上述3.1条款提供联系方式、承包人提供的联系方式无法正常送达或者承包人更换联系方式后未能书面通知发包人，造成发包人无法正常通知承包人履行保修责任的；</w:t>
      </w:r>
    </w:p>
    <w:p w14:paraId="6FEA1A44">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承包人未按上述</w:t>
      </w:r>
      <w:r>
        <w:rPr>
          <w:sz w:val="24"/>
          <w:szCs w:val="24"/>
        </w:rPr>
        <w:t>5.4</w:t>
      </w:r>
      <w:r>
        <w:rPr>
          <w:rFonts w:hint="eastAsia"/>
          <w:sz w:val="24"/>
          <w:szCs w:val="24"/>
        </w:rPr>
        <w:t>条款约定的时限内到现场检查、提出处理方案、材料配备不及时、未按维修时限完成维修项目并达到验收标准的；</w:t>
      </w:r>
    </w:p>
    <w:p w14:paraId="7E09A545">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承包人直接拒绝到现场进行检查和安排维修，并拒绝履行保修责任的；</w:t>
      </w:r>
    </w:p>
    <w:p w14:paraId="428A723F">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对报修问题，因现场无法明确判定承包人承责范围或涉及其它承包人共同承担责任的情况下，承包人不服从发包人现场协调和指挥，需启用第三方进行现场责任判定；</w:t>
      </w:r>
    </w:p>
    <w:p w14:paraId="38BBBE87">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承包人的维修方案不满足发包人维修要求，且虽经一次修改仍不能满足要求的；</w:t>
      </w:r>
    </w:p>
    <w:p w14:paraId="3B79F1D7">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对同一维修事项，承包人经过两次维修仍未修复的；</w:t>
      </w:r>
    </w:p>
    <w:p w14:paraId="34CC431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承包人人员不服从发包人的管理或违反《工程保修管理制度》规定要求的。</w:t>
      </w:r>
    </w:p>
    <w:p w14:paraId="7F242F04">
      <w:pPr>
        <w:pStyle w:val="4"/>
        <w:numPr>
          <w:ilvl w:val="1"/>
          <w:numId w:val="1"/>
        </w:numPr>
        <w:spacing w:line="360" w:lineRule="auto"/>
        <w:ind w:firstLineChars="0"/>
        <w:rPr>
          <w:sz w:val="24"/>
          <w:szCs w:val="24"/>
        </w:rPr>
      </w:pPr>
      <w:r>
        <w:rPr>
          <w:rFonts w:hint="eastAsia" w:cs="Arial"/>
          <w:sz w:val="24"/>
          <w:szCs w:val="24"/>
        </w:rPr>
        <w:t>第三方介入维修，不影响承包人继续承担</w:t>
      </w:r>
      <w:r>
        <w:rPr>
          <w:rFonts w:cs="Arial"/>
          <w:sz w:val="24"/>
          <w:szCs w:val="24"/>
        </w:rPr>
        <w:t>本工程的整体保修责任，直至保修期结束</w:t>
      </w:r>
      <w:r>
        <w:rPr>
          <w:rFonts w:hint="eastAsia" w:cs="Arial"/>
          <w:sz w:val="24"/>
          <w:szCs w:val="24"/>
        </w:rPr>
        <w:t>。</w:t>
      </w:r>
    </w:p>
    <w:p w14:paraId="764E597B">
      <w:pPr>
        <w:pStyle w:val="4"/>
        <w:numPr>
          <w:ilvl w:val="1"/>
          <w:numId w:val="1"/>
        </w:numPr>
        <w:spacing w:line="360" w:lineRule="auto"/>
        <w:ind w:firstLineChars="0"/>
        <w:rPr>
          <w:sz w:val="24"/>
          <w:szCs w:val="24"/>
        </w:rPr>
      </w:pPr>
      <w:r>
        <w:rPr>
          <w:rFonts w:cs="Arial"/>
          <w:sz w:val="24"/>
          <w:szCs w:val="24"/>
        </w:rPr>
        <w:t>第三方</w:t>
      </w:r>
      <w:r>
        <w:rPr>
          <w:rFonts w:hint="eastAsia" w:cs="Arial"/>
          <w:sz w:val="24"/>
          <w:szCs w:val="24"/>
        </w:rPr>
        <w:t>维修产生的费用将按月度以书面通知形式告知承包人，相关金额（含</w:t>
      </w:r>
      <w:r>
        <w:rPr>
          <w:rFonts w:cs="Arial"/>
          <w:sz w:val="24"/>
          <w:szCs w:val="24"/>
        </w:rPr>
        <w:t>实际维修费用</w:t>
      </w:r>
      <w:r>
        <w:rPr>
          <w:rFonts w:hint="eastAsia" w:cs="Arial"/>
          <w:sz w:val="24"/>
          <w:szCs w:val="24"/>
        </w:rPr>
        <w:t>、赔偿费用及发包人有权收取的违约金等）由发包人在质保金内径行扣除</w:t>
      </w:r>
      <w:r>
        <w:rPr>
          <w:rFonts w:cs="Arial"/>
          <w:sz w:val="24"/>
          <w:szCs w:val="24"/>
        </w:rPr>
        <w:t>。</w:t>
      </w:r>
    </w:p>
    <w:p w14:paraId="76F4E3F0">
      <w:pPr>
        <w:pStyle w:val="4"/>
        <w:numPr>
          <w:ilvl w:val="0"/>
          <w:numId w:val="1"/>
        </w:numPr>
        <w:spacing w:line="360" w:lineRule="auto"/>
        <w:ind w:firstLineChars="0"/>
        <w:rPr>
          <w:b/>
          <w:bCs/>
          <w:sz w:val="24"/>
          <w:szCs w:val="24"/>
        </w:rPr>
      </w:pPr>
      <w:r>
        <w:rPr>
          <w:rFonts w:hint="eastAsia"/>
          <w:b/>
          <w:bCs/>
          <w:sz w:val="24"/>
          <w:szCs w:val="24"/>
        </w:rPr>
        <w:t>质量保证金的支付</w:t>
      </w:r>
    </w:p>
    <w:p w14:paraId="70D891C0">
      <w:pPr>
        <w:pStyle w:val="4"/>
        <w:numPr>
          <w:ilvl w:val="1"/>
          <w:numId w:val="1"/>
        </w:numPr>
        <w:spacing w:line="360" w:lineRule="auto"/>
        <w:ind w:firstLineChars="0"/>
        <w:rPr>
          <w:sz w:val="24"/>
          <w:szCs w:val="24"/>
        </w:rPr>
      </w:pPr>
      <w:r>
        <w:rPr>
          <w:rFonts w:hint="eastAsia"/>
          <w:sz w:val="24"/>
          <w:szCs w:val="24"/>
        </w:rPr>
        <w:t>本工程约定的工程质量保证金为结算价款的</w:t>
      </w:r>
      <w:r>
        <w:rPr>
          <w:rFonts w:hint="eastAsia"/>
          <w:sz w:val="24"/>
          <w:szCs w:val="24"/>
          <w:u w:val="single"/>
        </w:rPr>
        <w:t xml:space="preserve">  </w:t>
      </w:r>
      <w:r>
        <w:rPr>
          <w:sz w:val="24"/>
          <w:szCs w:val="24"/>
          <w:u w:val="single"/>
        </w:rPr>
        <w:t>3</w:t>
      </w:r>
      <w:r>
        <w:rPr>
          <w:rFonts w:hint="eastAsia"/>
          <w:sz w:val="24"/>
          <w:szCs w:val="24"/>
          <w:u w:val="single"/>
        </w:rPr>
        <w:t xml:space="preserve">  </w:t>
      </w:r>
      <w:r>
        <w:rPr>
          <w:sz w:val="24"/>
          <w:szCs w:val="24"/>
          <w:u w:val="single"/>
        </w:rPr>
        <w:t>%</w:t>
      </w:r>
      <w:r>
        <w:rPr>
          <w:rFonts w:hint="eastAsia"/>
          <w:sz w:val="24"/>
          <w:szCs w:val="24"/>
        </w:rPr>
        <w:t>；</w:t>
      </w:r>
    </w:p>
    <w:p w14:paraId="0C7820EB">
      <w:pPr>
        <w:pStyle w:val="4"/>
        <w:numPr>
          <w:ilvl w:val="1"/>
          <w:numId w:val="1"/>
        </w:numPr>
        <w:spacing w:line="360" w:lineRule="auto"/>
        <w:ind w:firstLineChars="0"/>
        <w:rPr>
          <w:sz w:val="24"/>
          <w:szCs w:val="24"/>
        </w:rPr>
      </w:pPr>
      <w:r>
        <w:rPr>
          <w:rFonts w:hint="eastAsia"/>
          <w:sz w:val="24"/>
          <w:szCs w:val="24"/>
        </w:rPr>
        <w:t>在未结算工程款之前，所有的维修扣款，发包人有权优先扣除工程款；</w:t>
      </w:r>
    </w:p>
    <w:tbl>
      <w:tblPr>
        <w:tblStyle w:val="2"/>
        <w:tblpPr w:leftFromText="180" w:rightFromText="180" w:vertAnchor="text" w:horzAnchor="page" w:tblpX="2242" w:tblpY="488"/>
        <w:tblOverlap w:val="never"/>
        <w:tblW w:w="7783" w:type="dxa"/>
        <w:tblInd w:w="-270" w:type="dxa"/>
        <w:tblLayout w:type="fixed"/>
        <w:tblCellMar>
          <w:top w:w="0" w:type="dxa"/>
          <w:left w:w="108" w:type="dxa"/>
          <w:bottom w:w="0" w:type="dxa"/>
          <w:right w:w="108" w:type="dxa"/>
        </w:tblCellMar>
      </w:tblPr>
      <w:tblGrid>
        <w:gridCol w:w="1411"/>
        <w:gridCol w:w="3513"/>
        <w:gridCol w:w="2859"/>
      </w:tblGrid>
      <w:tr w14:paraId="71123C6A">
        <w:tblPrEx>
          <w:tblCellMar>
            <w:top w:w="0" w:type="dxa"/>
            <w:left w:w="108" w:type="dxa"/>
            <w:bottom w:w="0" w:type="dxa"/>
            <w:right w:w="108" w:type="dxa"/>
          </w:tblCellMar>
        </w:tblPrEx>
        <w:trPr>
          <w:trHeight w:val="36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216D8005">
            <w:pPr>
              <w:widowControl/>
              <w:jc w:val="center"/>
              <w:rPr>
                <w:b/>
                <w:bCs/>
                <w:color w:val="000000"/>
                <w:sz w:val="24"/>
                <w:szCs w:val="24"/>
              </w:rPr>
            </w:pPr>
            <w:r>
              <w:rPr>
                <w:rFonts w:hint="eastAsia"/>
                <w:b/>
                <w:bCs/>
                <w:color w:val="000000"/>
                <w:sz w:val="24"/>
                <w:szCs w:val="24"/>
              </w:rPr>
              <w:t>返还方式</w:t>
            </w:r>
          </w:p>
        </w:tc>
        <w:tc>
          <w:tcPr>
            <w:tcW w:w="3513" w:type="dxa"/>
            <w:tcBorders>
              <w:top w:val="single" w:color="auto" w:sz="4" w:space="0"/>
              <w:left w:val="nil"/>
              <w:bottom w:val="single" w:color="auto" w:sz="4" w:space="0"/>
              <w:right w:val="single" w:color="auto" w:sz="4" w:space="0"/>
            </w:tcBorders>
            <w:shd w:val="clear" w:color="auto" w:fill="auto"/>
            <w:vAlign w:val="center"/>
          </w:tcPr>
          <w:p w14:paraId="3DC64FC6">
            <w:pPr>
              <w:widowControl/>
              <w:jc w:val="center"/>
              <w:rPr>
                <w:b/>
                <w:bCs/>
                <w:color w:val="000000"/>
                <w:sz w:val="24"/>
                <w:szCs w:val="24"/>
              </w:rPr>
            </w:pPr>
            <w:r>
              <w:rPr>
                <w:rFonts w:hint="eastAsia"/>
                <w:b/>
                <w:bCs/>
                <w:color w:val="000000"/>
                <w:sz w:val="24"/>
                <w:szCs w:val="24"/>
              </w:rPr>
              <w:t>分期</w:t>
            </w:r>
            <w:r>
              <w:rPr>
                <w:b/>
                <w:bCs/>
                <w:color w:val="000000"/>
                <w:sz w:val="24"/>
                <w:szCs w:val="24"/>
              </w:rPr>
              <w:t>返还</w:t>
            </w:r>
          </w:p>
        </w:tc>
        <w:tc>
          <w:tcPr>
            <w:tcW w:w="2859" w:type="dxa"/>
            <w:tcBorders>
              <w:top w:val="single" w:color="auto" w:sz="4" w:space="0"/>
              <w:left w:val="nil"/>
              <w:bottom w:val="single" w:color="auto" w:sz="4" w:space="0"/>
              <w:right w:val="single" w:color="auto" w:sz="4" w:space="0"/>
            </w:tcBorders>
            <w:shd w:val="clear" w:color="auto" w:fill="auto"/>
            <w:vAlign w:val="center"/>
          </w:tcPr>
          <w:p w14:paraId="16FBE1E8">
            <w:pPr>
              <w:widowControl/>
              <w:jc w:val="center"/>
              <w:rPr>
                <w:b/>
                <w:bCs/>
                <w:color w:val="000000"/>
                <w:sz w:val="24"/>
                <w:szCs w:val="24"/>
              </w:rPr>
            </w:pPr>
            <w:r>
              <w:rPr>
                <w:rFonts w:hint="eastAsia"/>
                <w:b/>
                <w:bCs/>
                <w:color w:val="000000"/>
                <w:sz w:val="24"/>
                <w:szCs w:val="24"/>
              </w:rPr>
              <w:t>备注</w:t>
            </w:r>
          </w:p>
        </w:tc>
      </w:tr>
      <w:tr w14:paraId="0D0E7B34">
        <w:tblPrEx>
          <w:tblCellMar>
            <w:top w:w="0" w:type="dxa"/>
            <w:left w:w="108" w:type="dxa"/>
            <w:bottom w:w="0" w:type="dxa"/>
            <w:right w:w="108" w:type="dxa"/>
          </w:tblCellMar>
        </w:tblPrEx>
        <w:trPr>
          <w:trHeight w:val="1051" w:hRule="atLeast"/>
        </w:trPr>
        <w:tc>
          <w:tcPr>
            <w:tcW w:w="1411" w:type="dxa"/>
            <w:vMerge w:val="restart"/>
            <w:tcBorders>
              <w:top w:val="nil"/>
              <w:left w:val="single" w:color="auto" w:sz="4" w:space="0"/>
              <w:bottom w:val="single" w:color="auto" w:sz="4" w:space="0"/>
              <w:right w:val="single" w:color="auto" w:sz="4" w:space="0"/>
            </w:tcBorders>
            <w:shd w:val="clear" w:color="auto" w:fill="auto"/>
            <w:vAlign w:val="center"/>
          </w:tcPr>
          <w:p w14:paraId="6FBF19FB">
            <w:pPr>
              <w:widowControl/>
              <w:jc w:val="center"/>
              <w:rPr>
                <w:color w:val="000000"/>
                <w:sz w:val="24"/>
                <w:szCs w:val="24"/>
              </w:rPr>
            </w:pPr>
            <w:r>
              <w:rPr>
                <w:rFonts w:hint="eastAsia"/>
                <w:color w:val="000000"/>
                <w:sz w:val="24"/>
                <w:szCs w:val="24"/>
                <w:lang w:val="en-US" w:eastAsia="zh-CN"/>
              </w:rPr>
              <w:t>2</w:t>
            </w:r>
            <w:r>
              <w:rPr>
                <w:rFonts w:hint="eastAsia"/>
                <w:color w:val="000000"/>
                <w:sz w:val="24"/>
                <w:szCs w:val="24"/>
              </w:rPr>
              <w:t>年内分</w:t>
            </w:r>
            <w:r>
              <w:rPr>
                <w:rFonts w:hint="eastAsia"/>
                <w:color w:val="000000"/>
                <w:sz w:val="24"/>
                <w:szCs w:val="24"/>
                <w:lang w:val="en-US" w:eastAsia="zh-CN"/>
              </w:rPr>
              <w:t>二</w:t>
            </w:r>
            <w:r>
              <w:rPr>
                <w:rFonts w:hint="eastAsia"/>
                <w:color w:val="000000"/>
                <w:sz w:val="24"/>
                <w:szCs w:val="24"/>
              </w:rPr>
              <w:t>期返还</w:t>
            </w:r>
          </w:p>
        </w:tc>
        <w:tc>
          <w:tcPr>
            <w:tcW w:w="3513" w:type="dxa"/>
            <w:tcBorders>
              <w:top w:val="nil"/>
              <w:left w:val="nil"/>
              <w:bottom w:val="single" w:color="auto" w:sz="4" w:space="0"/>
              <w:right w:val="single" w:color="auto" w:sz="4" w:space="0"/>
            </w:tcBorders>
            <w:shd w:val="clear" w:color="auto" w:fill="auto"/>
            <w:vAlign w:val="center"/>
          </w:tcPr>
          <w:p w14:paraId="1D254D86">
            <w:pPr>
              <w:widowControl/>
              <w:jc w:val="center"/>
              <w:rPr>
                <w:color w:val="000000"/>
                <w:sz w:val="24"/>
                <w:szCs w:val="24"/>
              </w:rPr>
            </w:pPr>
            <w:r>
              <w:rPr>
                <w:rFonts w:hint="eastAsia"/>
                <w:color w:val="000000"/>
                <w:sz w:val="24"/>
                <w:szCs w:val="24"/>
              </w:rPr>
              <w:t>第一期：保修期满一年，</w:t>
            </w:r>
            <w:r>
              <w:rPr>
                <w:color w:val="000000"/>
                <w:sz w:val="24"/>
                <w:szCs w:val="24"/>
              </w:rPr>
              <w:t>返还</w:t>
            </w:r>
            <w:r>
              <w:rPr>
                <w:rFonts w:hint="eastAsia"/>
                <w:color w:val="000000"/>
                <w:sz w:val="24"/>
                <w:szCs w:val="24"/>
                <w:lang w:val="en-US" w:eastAsia="zh-CN"/>
              </w:rPr>
              <w:t>5</w:t>
            </w:r>
            <w:r>
              <w:rPr>
                <w:rFonts w:hint="eastAsia"/>
                <w:color w:val="000000"/>
                <w:sz w:val="24"/>
                <w:szCs w:val="24"/>
              </w:rPr>
              <w:t>0%</w:t>
            </w:r>
          </w:p>
        </w:tc>
        <w:tc>
          <w:tcPr>
            <w:tcW w:w="2859" w:type="dxa"/>
            <w:vMerge w:val="restart"/>
            <w:tcBorders>
              <w:top w:val="nil"/>
              <w:left w:val="single" w:color="auto" w:sz="4" w:space="0"/>
              <w:bottom w:val="single" w:color="auto" w:sz="4" w:space="0"/>
              <w:right w:val="single" w:color="auto" w:sz="4" w:space="0"/>
            </w:tcBorders>
            <w:shd w:val="clear" w:color="auto" w:fill="auto"/>
            <w:vAlign w:val="center"/>
          </w:tcPr>
          <w:p w14:paraId="313CF487">
            <w:pPr>
              <w:pStyle w:val="4"/>
              <w:widowControl/>
              <w:numPr>
                <w:ilvl w:val="0"/>
                <w:numId w:val="4"/>
              </w:numPr>
              <w:ind w:firstLineChars="0"/>
              <w:jc w:val="left"/>
              <w:rPr>
                <w:color w:val="000000"/>
                <w:sz w:val="24"/>
                <w:szCs w:val="24"/>
              </w:rPr>
            </w:pPr>
            <w:r>
              <w:rPr>
                <w:rFonts w:hint="eastAsia"/>
                <w:color w:val="000000"/>
                <w:sz w:val="24"/>
                <w:szCs w:val="24"/>
              </w:rPr>
              <w:t>如当期应付保修金金额小于已扣</w:t>
            </w:r>
            <w:r>
              <w:rPr>
                <w:color w:val="000000"/>
                <w:sz w:val="24"/>
                <w:szCs w:val="24"/>
              </w:rPr>
              <w:t>除</w:t>
            </w:r>
            <w:r>
              <w:rPr>
                <w:rFonts w:hint="eastAsia"/>
                <w:color w:val="000000"/>
                <w:sz w:val="24"/>
                <w:szCs w:val="24"/>
              </w:rPr>
              <w:t>金额的，则当期</w:t>
            </w:r>
            <w:r>
              <w:rPr>
                <w:color w:val="000000"/>
                <w:sz w:val="24"/>
                <w:szCs w:val="24"/>
              </w:rPr>
              <w:t>无需返还</w:t>
            </w:r>
            <w:r>
              <w:rPr>
                <w:rFonts w:hint="eastAsia"/>
                <w:color w:val="000000"/>
                <w:sz w:val="24"/>
                <w:szCs w:val="24"/>
              </w:rPr>
              <w:t>；</w:t>
            </w:r>
          </w:p>
          <w:p w14:paraId="1A2F7C47">
            <w:pPr>
              <w:pStyle w:val="4"/>
              <w:widowControl/>
              <w:numPr>
                <w:ilvl w:val="0"/>
                <w:numId w:val="4"/>
              </w:numPr>
              <w:ind w:firstLineChars="0"/>
              <w:jc w:val="left"/>
              <w:rPr>
                <w:color w:val="000000"/>
                <w:sz w:val="24"/>
                <w:szCs w:val="24"/>
              </w:rPr>
            </w:pPr>
            <w:r>
              <w:rPr>
                <w:rFonts w:hint="eastAsia"/>
                <w:color w:val="000000"/>
                <w:sz w:val="24"/>
                <w:szCs w:val="24"/>
              </w:rPr>
              <w:t>如全部质量保证金总额不足以抵扣应扣</w:t>
            </w:r>
            <w:r>
              <w:rPr>
                <w:color w:val="000000"/>
                <w:sz w:val="24"/>
                <w:szCs w:val="24"/>
              </w:rPr>
              <w:t>除</w:t>
            </w:r>
            <w:r>
              <w:rPr>
                <w:rFonts w:hint="eastAsia"/>
                <w:color w:val="000000"/>
                <w:sz w:val="24"/>
                <w:szCs w:val="24"/>
              </w:rPr>
              <w:t>金额的，发包人有权另行向承包人追索</w:t>
            </w:r>
          </w:p>
        </w:tc>
      </w:tr>
      <w:tr w14:paraId="3DF0BB2A">
        <w:tblPrEx>
          <w:tblCellMar>
            <w:top w:w="0" w:type="dxa"/>
            <w:left w:w="108" w:type="dxa"/>
            <w:bottom w:w="0" w:type="dxa"/>
            <w:right w:w="108" w:type="dxa"/>
          </w:tblCellMar>
        </w:tblPrEx>
        <w:trPr>
          <w:trHeight w:val="36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297B53CF">
            <w:pPr>
              <w:widowControl/>
              <w:rPr>
                <w:color w:val="000000"/>
                <w:sz w:val="24"/>
                <w:szCs w:val="24"/>
              </w:rPr>
            </w:pPr>
          </w:p>
        </w:tc>
        <w:tc>
          <w:tcPr>
            <w:tcW w:w="3513" w:type="dxa"/>
            <w:tcBorders>
              <w:top w:val="single" w:color="auto" w:sz="4" w:space="0"/>
              <w:left w:val="nil"/>
              <w:bottom w:val="single" w:color="auto" w:sz="4" w:space="0"/>
              <w:right w:val="single" w:color="auto" w:sz="4" w:space="0"/>
            </w:tcBorders>
            <w:shd w:val="clear" w:color="auto" w:fill="auto"/>
            <w:vAlign w:val="center"/>
          </w:tcPr>
          <w:p w14:paraId="61786977">
            <w:pPr>
              <w:widowControl/>
              <w:jc w:val="center"/>
              <w:rPr>
                <w:color w:val="000000"/>
                <w:sz w:val="24"/>
                <w:szCs w:val="24"/>
              </w:rPr>
            </w:pPr>
            <w:r>
              <w:rPr>
                <w:rFonts w:hint="eastAsia"/>
                <w:color w:val="000000"/>
                <w:sz w:val="24"/>
                <w:szCs w:val="24"/>
              </w:rPr>
              <w:t>第二期：保修期满</w:t>
            </w:r>
            <w:r>
              <w:rPr>
                <w:rFonts w:hint="eastAsia"/>
                <w:color w:val="000000"/>
                <w:sz w:val="24"/>
                <w:szCs w:val="24"/>
                <w:lang w:val="en-US" w:eastAsia="zh-CN"/>
              </w:rPr>
              <w:t>二</w:t>
            </w:r>
            <w:r>
              <w:rPr>
                <w:rFonts w:hint="eastAsia"/>
                <w:color w:val="000000"/>
                <w:sz w:val="24"/>
                <w:szCs w:val="24"/>
              </w:rPr>
              <w:t>年，</w:t>
            </w:r>
            <w:r>
              <w:rPr>
                <w:color w:val="000000"/>
                <w:sz w:val="24"/>
                <w:szCs w:val="24"/>
              </w:rPr>
              <w:t>返还</w:t>
            </w:r>
            <w:r>
              <w:rPr>
                <w:rFonts w:hint="eastAsia"/>
                <w:color w:val="000000"/>
                <w:sz w:val="24"/>
                <w:szCs w:val="24"/>
                <w:lang w:val="en-US" w:eastAsia="zh-CN"/>
              </w:rPr>
              <w:t>50</w:t>
            </w:r>
            <w:r>
              <w:rPr>
                <w:rFonts w:hint="eastAsia"/>
                <w:color w:val="000000"/>
                <w:sz w:val="24"/>
                <w:szCs w:val="24"/>
              </w:rPr>
              <w:t>%</w:t>
            </w:r>
          </w:p>
        </w:tc>
        <w:tc>
          <w:tcPr>
            <w:tcW w:w="2859" w:type="dxa"/>
            <w:vMerge w:val="continue"/>
            <w:tcBorders>
              <w:top w:val="single" w:color="auto" w:sz="4" w:space="0"/>
              <w:left w:val="single" w:color="auto" w:sz="4" w:space="0"/>
              <w:bottom w:val="single" w:color="auto" w:sz="4" w:space="0"/>
              <w:right w:val="single" w:color="auto" w:sz="4" w:space="0"/>
            </w:tcBorders>
            <w:vAlign w:val="center"/>
          </w:tcPr>
          <w:p w14:paraId="3BE1D773">
            <w:pPr>
              <w:widowControl/>
              <w:rPr>
                <w:color w:val="000000"/>
                <w:sz w:val="24"/>
                <w:szCs w:val="24"/>
              </w:rPr>
            </w:pPr>
          </w:p>
        </w:tc>
      </w:tr>
    </w:tbl>
    <w:p w14:paraId="08087E82">
      <w:pPr>
        <w:pStyle w:val="4"/>
        <w:numPr>
          <w:ilvl w:val="0"/>
          <w:numId w:val="0"/>
        </w:numPr>
        <w:spacing w:line="360" w:lineRule="auto"/>
        <w:ind w:leftChars="0"/>
        <w:rPr>
          <w:sz w:val="24"/>
          <w:szCs w:val="24"/>
        </w:rPr>
      </w:pPr>
    </w:p>
    <w:p w14:paraId="422706D6">
      <w:pPr>
        <w:pStyle w:val="4"/>
        <w:numPr>
          <w:ilvl w:val="1"/>
          <w:numId w:val="1"/>
        </w:numPr>
        <w:spacing w:line="360" w:lineRule="auto"/>
        <w:ind w:firstLineChars="0"/>
        <w:rPr>
          <w:sz w:val="24"/>
          <w:szCs w:val="24"/>
        </w:rPr>
      </w:pPr>
      <w:r>
        <w:rPr>
          <w:rFonts w:hint="eastAsia"/>
          <w:sz w:val="24"/>
          <w:szCs w:val="24"/>
        </w:rPr>
        <w:t xml:space="preserve"> 承包人授权发包人对所发生的费用进行审核，并同意承担发包人确认的维修费用。</w:t>
      </w:r>
    </w:p>
    <w:p w14:paraId="14F80A4D">
      <w:pPr>
        <w:pStyle w:val="4"/>
        <w:numPr>
          <w:ilvl w:val="1"/>
          <w:numId w:val="1"/>
        </w:numPr>
        <w:spacing w:line="360" w:lineRule="auto"/>
        <w:ind w:firstLineChars="0"/>
        <w:rPr>
          <w:sz w:val="24"/>
          <w:szCs w:val="24"/>
        </w:rPr>
      </w:pPr>
      <w:r>
        <w:rPr>
          <w:rFonts w:hint="eastAsia"/>
          <w:sz w:val="24"/>
          <w:szCs w:val="24"/>
        </w:rPr>
        <w:t>质量保证金返还后保修期限仍未结束的分部工程，承包人将继续履行保修责任直至保修期满。如保修金返还后承包人拒绝或拖延履行保修责任，则发包人有权直接委托第三方履行保修责任，所产生的费用有权向承包人追偿。</w:t>
      </w:r>
    </w:p>
    <w:p w14:paraId="45646C86">
      <w:pPr>
        <w:pStyle w:val="4"/>
        <w:numPr>
          <w:ilvl w:val="1"/>
          <w:numId w:val="1"/>
        </w:numPr>
        <w:spacing w:line="360" w:lineRule="auto"/>
        <w:ind w:firstLineChars="0"/>
        <w:rPr>
          <w:sz w:val="24"/>
          <w:szCs w:val="24"/>
        </w:rPr>
      </w:pPr>
      <w:r>
        <w:rPr>
          <w:rFonts w:hint="eastAsia"/>
          <w:sz w:val="24"/>
          <w:szCs w:val="24"/>
        </w:rPr>
        <w:t>当实际发生的保修费用未达合同约定的保修金总额时，差额全部返还承包人；当实际发生的保修费用超过合同规定的保修金总额时，承包人应在接到发包人书面通知之日起十个工作日内向发包人补足差额，否则，从逾期之日起至实际补足之日止，承包人每日需向发包人支付违约金【</w:t>
      </w:r>
      <w:r>
        <w:rPr>
          <w:rFonts w:hint="eastAsia"/>
          <w:sz w:val="24"/>
          <w:szCs w:val="24"/>
          <w:lang w:val="en-US" w:eastAsia="zh-CN"/>
        </w:rPr>
        <w:t>10000</w:t>
      </w:r>
      <w:r>
        <w:rPr>
          <w:rFonts w:hint="eastAsia"/>
          <w:sz w:val="24"/>
          <w:szCs w:val="24"/>
        </w:rPr>
        <w:t>】元。</w:t>
      </w:r>
    </w:p>
    <w:p w14:paraId="24F7DAA1">
      <w:pPr>
        <w:pStyle w:val="4"/>
        <w:numPr>
          <w:ilvl w:val="1"/>
          <w:numId w:val="1"/>
        </w:numPr>
        <w:spacing w:line="360" w:lineRule="auto"/>
        <w:ind w:firstLineChars="0"/>
        <w:rPr>
          <w:sz w:val="24"/>
          <w:szCs w:val="24"/>
        </w:rPr>
      </w:pPr>
      <w:r>
        <w:rPr>
          <w:rFonts w:hint="eastAsia"/>
          <w:sz w:val="24"/>
          <w:szCs w:val="24"/>
        </w:rPr>
        <w:t>所有保修金在结算时均不计算利息。</w:t>
      </w:r>
    </w:p>
    <w:p w14:paraId="5318B621">
      <w:pPr>
        <w:pStyle w:val="4"/>
        <w:numPr>
          <w:ilvl w:val="0"/>
          <w:numId w:val="1"/>
        </w:numPr>
        <w:spacing w:line="360" w:lineRule="auto"/>
        <w:ind w:firstLineChars="0"/>
        <w:rPr>
          <w:b/>
          <w:bCs/>
          <w:sz w:val="24"/>
          <w:szCs w:val="24"/>
        </w:rPr>
      </w:pPr>
      <w:r>
        <w:rPr>
          <w:rFonts w:hint="eastAsia"/>
          <w:b/>
          <w:bCs/>
          <w:sz w:val="24"/>
          <w:szCs w:val="24"/>
        </w:rPr>
        <w:t>其他</w:t>
      </w:r>
    </w:p>
    <w:p w14:paraId="5969D5BD">
      <w:pPr>
        <w:pStyle w:val="4"/>
        <w:numPr>
          <w:ilvl w:val="1"/>
          <w:numId w:val="1"/>
        </w:numPr>
        <w:spacing w:line="360" w:lineRule="auto"/>
        <w:ind w:firstLineChars="0"/>
        <w:rPr>
          <w:sz w:val="24"/>
          <w:szCs w:val="24"/>
        </w:rPr>
      </w:pPr>
      <w:r>
        <w:rPr>
          <w:rFonts w:hint="eastAsia"/>
          <w:sz w:val="24"/>
          <w:szCs w:val="24"/>
        </w:rPr>
        <w:t>本工程质量保修书所指发包人可理解为发包人或发包人下辖的保修服务管理部门。</w:t>
      </w:r>
    </w:p>
    <w:p w14:paraId="56B5917F">
      <w:pPr>
        <w:pStyle w:val="4"/>
        <w:numPr>
          <w:ilvl w:val="1"/>
          <w:numId w:val="1"/>
        </w:numPr>
        <w:spacing w:line="360" w:lineRule="auto"/>
        <w:ind w:firstLineChars="0"/>
        <w:rPr>
          <w:sz w:val="24"/>
          <w:szCs w:val="24"/>
        </w:rPr>
      </w:pPr>
      <w:r>
        <w:rPr>
          <w:rFonts w:hint="eastAsia"/>
          <w:sz w:val="24"/>
          <w:szCs w:val="24"/>
        </w:rPr>
        <w:t>本工程质量保修书没有约定的内容以主合同及《工程保修管理制度补充说明》为准。</w:t>
      </w:r>
    </w:p>
    <w:tbl>
      <w:tblPr>
        <w:tblStyle w:val="2"/>
        <w:tblW w:w="8522" w:type="dxa"/>
        <w:tblInd w:w="0" w:type="dxa"/>
        <w:tblLayout w:type="fixed"/>
        <w:tblCellMar>
          <w:top w:w="0" w:type="dxa"/>
          <w:left w:w="108" w:type="dxa"/>
          <w:bottom w:w="0" w:type="dxa"/>
          <w:right w:w="108" w:type="dxa"/>
        </w:tblCellMar>
      </w:tblPr>
      <w:tblGrid>
        <w:gridCol w:w="4261"/>
        <w:gridCol w:w="4261"/>
      </w:tblGrid>
      <w:tr w14:paraId="3C5B7F8E">
        <w:tblPrEx>
          <w:tblCellMar>
            <w:top w:w="0" w:type="dxa"/>
            <w:left w:w="108" w:type="dxa"/>
            <w:bottom w:w="0" w:type="dxa"/>
            <w:right w:w="108" w:type="dxa"/>
          </w:tblCellMar>
        </w:tblPrEx>
        <w:tc>
          <w:tcPr>
            <w:tcW w:w="4261" w:type="dxa"/>
          </w:tcPr>
          <w:p w14:paraId="4B914E6F">
            <w:pPr>
              <w:spacing w:line="400" w:lineRule="exact"/>
              <w:rPr>
                <w:kern w:val="10"/>
                <w:sz w:val="24"/>
                <w:szCs w:val="24"/>
              </w:rPr>
            </w:pPr>
            <w:r>
              <w:rPr>
                <w:rFonts w:hint="eastAsia"/>
                <w:kern w:val="10"/>
                <w:sz w:val="24"/>
                <w:szCs w:val="24"/>
              </w:rPr>
              <w:t>发包人（公章）：</w:t>
            </w:r>
            <w:r>
              <w:rPr>
                <w:kern w:val="10"/>
                <w:sz w:val="24"/>
                <w:szCs w:val="24"/>
              </w:rPr>
              <w:t xml:space="preserve"> </w:t>
            </w:r>
          </w:p>
          <w:p w14:paraId="355DCF62">
            <w:pPr>
              <w:spacing w:line="400" w:lineRule="exact"/>
              <w:rPr>
                <w:kern w:val="10"/>
                <w:sz w:val="24"/>
                <w:szCs w:val="24"/>
              </w:rPr>
            </w:pPr>
            <w:r>
              <w:rPr>
                <w:rFonts w:hint="eastAsia"/>
                <w:kern w:val="10"/>
                <w:sz w:val="24"/>
                <w:szCs w:val="24"/>
              </w:rPr>
              <w:t>签约代表（签字）：</w:t>
            </w:r>
          </w:p>
          <w:p w14:paraId="2B31FCB4">
            <w:pPr>
              <w:spacing w:line="400" w:lineRule="exact"/>
              <w:rPr>
                <w:kern w:val="10"/>
                <w:sz w:val="24"/>
                <w:szCs w:val="24"/>
              </w:rPr>
            </w:pPr>
            <w:r>
              <w:rPr>
                <w:rFonts w:hint="eastAsia"/>
                <w:kern w:val="10"/>
                <w:sz w:val="24"/>
                <w:szCs w:val="24"/>
              </w:rPr>
              <w:t>日期：年 月 日</w:t>
            </w:r>
          </w:p>
        </w:tc>
        <w:tc>
          <w:tcPr>
            <w:tcW w:w="4261" w:type="dxa"/>
          </w:tcPr>
          <w:p w14:paraId="5CD756E9">
            <w:pPr>
              <w:spacing w:line="400" w:lineRule="exact"/>
              <w:ind w:firstLine="960" w:firstLineChars="400"/>
              <w:rPr>
                <w:kern w:val="10"/>
                <w:sz w:val="24"/>
                <w:szCs w:val="24"/>
              </w:rPr>
            </w:pPr>
            <w:r>
              <w:rPr>
                <w:rFonts w:hint="eastAsia"/>
                <w:kern w:val="10"/>
                <w:sz w:val="24"/>
                <w:szCs w:val="24"/>
              </w:rPr>
              <w:t>承包人（公章）：</w:t>
            </w:r>
          </w:p>
          <w:p w14:paraId="7F39C7EF">
            <w:pPr>
              <w:spacing w:line="400" w:lineRule="exact"/>
              <w:ind w:firstLine="840" w:firstLineChars="350"/>
              <w:rPr>
                <w:kern w:val="10"/>
                <w:sz w:val="24"/>
                <w:szCs w:val="24"/>
              </w:rPr>
            </w:pPr>
            <w:r>
              <w:rPr>
                <w:rFonts w:hint="eastAsia"/>
                <w:kern w:val="10"/>
                <w:sz w:val="24"/>
                <w:szCs w:val="24"/>
              </w:rPr>
              <w:t>签约代表（签字）：</w:t>
            </w:r>
          </w:p>
          <w:p w14:paraId="3B39CB15">
            <w:pPr>
              <w:spacing w:line="400" w:lineRule="exact"/>
              <w:ind w:firstLine="840" w:firstLineChars="350"/>
              <w:rPr>
                <w:kern w:val="10"/>
                <w:sz w:val="24"/>
                <w:szCs w:val="24"/>
              </w:rPr>
            </w:pPr>
            <w:r>
              <w:rPr>
                <w:rFonts w:hint="eastAsia"/>
                <w:kern w:val="10"/>
                <w:sz w:val="24"/>
                <w:szCs w:val="24"/>
              </w:rPr>
              <w:t xml:space="preserve">日期：年 </w:t>
            </w:r>
            <w:r>
              <w:rPr>
                <w:kern w:val="10"/>
                <w:sz w:val="24"/>
                <w:szCs w:val="24"/>
              </w:rPr>
              <w:t xml:space="preserve"> </w:t>
            </w:r>
            <w:r>
              <w:rPr>
                <w:rFonts w:hint="eastAsia"/>
                <w:kern w:val="10"/>
                <w:sz w:val="24"/>
                <w:szCs w:val="24"/>
              </w:rPr>
              <w:t>月 日</w:t>
            </w:r>
          </w:p>
        </w:tc>
      </w:tr>
    </w:tbl>
    <w:p w14:paraId="0F50CEEE">
      <w:pPr>
        <w:numPr>
          <w:ilvl w:val="0"/>
          <w:numId w:val="5"/>
        </w:numPr>
        <w:spacing w:line="360" w:lineRule="auto"/>
        <w:rPr>
          <w:sz w:val="24"/>
          <w:szCs w:val="24"/>
        </w:rPr>
      </w:pPr>
      <w:r>
        <w:rPr>
          <w:b/>
          <w:color w:val="000000"/>
          <w:sz w:val="28"/>
          <w:szCs w:val="28"/>
        </w:rPr>
        <w:br w:type="page"/>
      </w:r>
    </w:p>
    <w:p w14:paraId="62AFB423">
      <w:pPr>
        <w:spacing w:line="360" w:lineRule="auto"/>
        <w:rPr>
          <w:bCs/>
          <w:color w:val="000000"/>
          <w:sz w:val="24"/>
          <w:szCs w:val="24"/>
        </w:rPr>
      </w:pPr>
    </w:p>
    <w:p w14:paraId="2229C31A">
      <w:pPr>
        <w:spacing w:line="360" w:lineRule="auto"/>
        <w:rPr>
          <w:b/>
          <w:bCs/>
          <w:color w:val="000000"/>
          <w:sz w:val="24"/>
          <w:szCs w:val="24"/>
        </w:rPr>
      </w:pPr>
      <w:r>
        <w:rPr>
          <w:rFonts w:hint="eastAsia"/>
          <w:b/>
          <w:color w:val="000000"/>
          <w:sz w:val="24"/>
          <w:szCs w:val="24"/>
        </w:rPr>
        <w:t xml:space="preserve"> </w:t>
      </w:r>
      <w:r>
        <w:rPr>
          <w:rFonts w:hint="eastAsia"/>
          <w:b/>
          <w:bCs/>
          <w:color w:val="000000"/>
          <w:sz w:val="24"/>
          <w:szCs w:val="24"/>
        </w:rPr>
        <w:t>保修联系方式确认表</w:t>
      </w:r>
    </w:p>
    <w:tbl>
      <w:tblPr>
        <w:tblStyle w:val="2"/>
        <w:tblW w:w="8522" w:type="dxa"/>
        <w:tblInd w:w="0" w:type="dxa"/>
        <w:tblLayout w:type="fixed"/>
        <w:tblCellMar>
          <w:top w:w="0" w:type="dxa"/>
          <w:left w:w="108" w:type="dxa"/>
          <w:bottom w:w="0" w:type="dxa"/>
          <w:right w:w="108" w:type="dxa"/>
        </w:tblCellMar>
      </w:tblPr>
      <w:tblGrid>
        <w:gridCol w:w="2136"/>
        <w:gridCol w:w="1843"/>
        <w:gridCol w:w="1455"/>
        <w:gridCol w:w="3088"/>
      </w:tblGrid>
      <w:tr w14:paraId="463B5BF1">
        <w:tblPrEx>
          <w:tblCellMar>
            <w:top w:w="0" w:type="dxa"/>
            <w:left w:w="108" w:type="dxa"/>
            <w:bottom w:w="0" w:type="dxa"/>
            <w:right w:w="108" w:type="dxa"/>
          </w:tblCellMar>
        </w:tblPrEx>
        <w:trPr>
          <w:trHeight w:val="380" w:hRule="atLeast"/>
        </w:trPr>
        <w:tc>
          <w:tcPr>
            <w:tcW w:w="852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40BDFC0">
            <w:pPr>
              <w:widowControl/>
              <w:jc w:val="center"/>
              <w:rPr>
                <w:b/>
                <w:bCs/>
                <w:color w:val="000000"/>
                <w:sz w:val="24"/>
                <w:szCs w:val="24"/>
              </w:rPr>
            </w:pPr>
            <w:r>
              <w:rPr>
                <w:rFonts w:hint="eastAsia"/>
                <w:b/>
                <w:bCs/>
                <w:color w:val="000000"/>
                <w:sz w:val="24"/>
                <w:szCs w:val="24"/>
              </w:rPr>
              <w:t>保修联系方式确认表</w:t>
            </w:r>
          </w:p>
        </w:tc>
      </w:tr>
      <w:tr w14:paraId="26B75E2B">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7B72DE98">
            <w:pPr>
              <w:widowControl/>
              <w:jc w:val="center"/>
              <w:rPr>
                <w:color w:val="000000"/>
                <w:sz w:val="24"/>
                <w:szCs w:val="24"/>
              </w:rPr>
            </w:pPr>
            <w:r>
              <w:rPr>
                <w:rFonts w:hint="eastAsia"/>
                <w:color w:val="000000"/>
                <w:sz w:val="24"/>
                <w:szCs w:val="24"/>
              </w:rPr>
              <w:t>公司名称</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6264052D">
            <w:pPr>
              <w:widowControl/>
              <w:jc w:val="center"/>
              <w:rPr>
                <w:color w:val="000000"/>
                <w:sz w:val="24"/>
                <w:szCs w:val="24"/>
              </w:rPr>
            </w:pPr>
            <w:r>
              <w:rPr>
                <w:rFonts w:hint="eastAsia"/>
                <w:color w:val="000000"/>
                <w:sz w:val="24"/>
                <w:szCs w:val="24"/>
              </w:rPr>
              <w:t>　</w:t>
            </w:r>
          </w:p>
        </w:tc>
      </w:tr>
      <w:tr w14:paraId="017C22CD">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2E6C8C7B">
            <w:pPr>
              <w:widowControl/>
              <w:jc w:val="center"/>
              <w:rPr>
                <w:color w:val="000000"/>
                <w:sz w:val="24"/>
                <w:szCs w:val="24"/>
              </w:rPr>
            </w:pPr>
            <w:r>
              <w:rPr>
                <w:rFonts w:hint="eastAsia"/>
                <w:color w:val="000000"/>
                <w:sz w:val="24"/>
                <w:szCs w:val="24"/>
              </w:rPr>
              <w:t>公司地址</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5D638F48">
            <w:pPr>
              <w:widowControl/>
              <w:jc w:val="center"/>
              <w:rPr>
                <w:color w:val="000000"/>
                <w:sz w:val="24"/>
                <w:szCs w:val="24"/>
              </w:rPr>
            </w:pPr>
            <w:r>
              <w:rPr>
                <w:rFonts w:hint="eastAsia"/>
                <w:color w:val="000000"/>
                <w:sz w:val="24"/>
                <w:szCs w:val="24"/>
              </w:rPr>
              <w:t>　</w:t>
            </w:r>
          </w:p>
        </w:tc>
      </w:tr>
      <w:tr w14:paraId="1EEE15C5">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305C5DF8">
            <w:pPr>
              <w:widowControl/>
              <w:jc w:val="center"/>
              <w:rPr>
                <w:color w:val="000000"/>
                <w:sz w:val="24"/>
                <w:szCs w:val="24"/>
              </w:rPr>
            </w:pPr>
            <w:r>
              <w:rPr>
                <w:rFonts w:hint="eastAsia"/>
                <w:color w:val="000000"/>
                <w:sz w:val="24"/>
                <w:szCs w:val="24"/>
              </w:rPr>
              <w:t>公司电子邮箱</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40257D99">
            <w:pPr>
              <w:widowControl/>
              <w:jc w:val="center"/>
              <w:rPr>
                <w:color w:val="000000"/>
                <w:sz w:val="24"/>
                <w:szCs w:val="24"/>
              </w:rPr>
            </w:pPr>
            <w:r>
              <w:rPr>
                <w:rFonts w:hint="eastAsia"/>
                <w:color w:val="000000"/>
                <w:sz w:val="24"/>
                <w:szCs w:val="24"/>
              </w:rPr>
              <w:t>　</w:t>
            </w:r>
          </w:p>
        </w:tc>
      </w:tr>
      <w:tr w14:paraId="3B7BA248">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0B377F4D">
            <w:pPr>
              <w:widowControl/>
              <w:jc w:val="center"/>
              <w:rPr>
                <w:sz w:val="24"/>
                <w:szCs w:val="24"/>
              </w:rPr>
            </w:pPr>
            <w:r>
              <w:rPr>
                <w:rFonts w:hint="eastAsia"/>
                <w:sz w:val="24"/>
                <w:szCs w:val="24"/>
              </w:rPr>
              <w:t>保修负责人微信号</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088407A9">
            <w:pPr>
              <w:widowControl/>
              <w:jc w:val="center"/>
              <w:rPr>
                <w:color w:val="000000"/>
                <w:sz w:val="24"/>
                <w:szCs w:val="24"/>
              </w:rPr>
            </w:pPr>
            <w:r>
              <w:rPr>
                <w:rFonts w:hint="eastAsia"/>
                <w:color w:val="000000"/>
                <w:sz w:val="24"/>
                <w:szCs w:val="24"/>
              </w:rPr>
              <w:t>　</w:t>
            </w:r>
          </w:p>
        </w:tc>
      </w:tr>
      <w:tr w14:paraId="6A094648">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208DCB7A">
            <w:pPr>
              <w:widowControl/>
              <w:jc w:val="center"/>
              <w:rPr>
                <w:color w:val="000000"/>
                <w:sz w:val="24"/>
                <w:szCs w:val="24"/>
              </w:rPr>
            </w:pPr>
            <w:r>
              <w:rPr>
                <w:rFonts w:hint="eastAsia"/>
                <w:color w:val="000000"/>
                <w:sz w:val="24"/>
                <w:szCs w:val="24"/>
              </w:rPr>
              <w:t>法定代表人</w:t>
            </w:r>
          </w:p>
        </w:tc>
        <w:tc>
          <w:tcPr>
            <w:tcW w:w="1843" w:type="dxa"/>
            <w:tcBorders>
              <w:top w:val="nil"/>
              <w:left w:val="nil"/>
              <w:bottom w:val="single" w:color="auto" w:sz="4" w:space="0"/>
              <w:right w:val="single" w:color="auto" w:sz="4" w:space="0"/>
            </w:tcBorders>
            <w:shd w:val="clear" w:color="auto" w:fill="auto"/>
            <w:noWrap/>
            <w:vAlign w:val="center"/>
          </w:tcPr>
          <w:p w14:paraId="091F52C4">
            <w:pPr>
              <w:widowControl/>
              <w:jc w:val="center"/>
              <w:rPr>
                <w:color w:val="000000"/>
                <w:sz w:val="24"/>
                <w:szCs w:val="24"/>
              </w:rPr>
            </w:pPr>
            <w:r>
              <w:rPr>
                <w:rFonts w:hint="eastAsia"/>
                <w:color w:val="000000"/>
                <w:sz w:val="24"/>
                <w:szCs w:val="24"/>
              </w:rPr>
              <w:t>　</w:t>
            </w:r>
          </w:p>
        </w:tc>
        <w:tc>
          <w:tcPr>
            <w:tcW w:w="1455" w:type="dxa"/>
            <w:tcBorders>
              <w:top w:val="nil"/>
              <w:left w:val="nil"/>
              <w:bottom w:val="single" w:color="auto" w:sz="4" w:space="0"/>
              <w:right w:val="single" w:color="auto" w:sz="4" w:space="0"/>
            </w:tcBorders>
            <w:shd w:val="clear" w:color="auto" w:fill="auto"/>
            <w:noWrap/>
            <w:vAlign w:val="center"/>
          </w:tcPr>
          <w:p w14:paraId="70ED4EE3">
            <w:pPr>
              <w:widowControl/>
              <w:jc w:val="center"/>
              <w:rPr>
                <w:color w:val="000000"/>
                <w:sz w:val="24"/>
                <w:szCs w:val="24"/>
              </w:rPr>
            </w:pPr>
            <w:r>
              <w:rPr>
                <w:rFonts w:hint="eastAsia"/>
                <w:color w:val="000000"/>
                <w:sz w:val="24"/>
                <w:szCs w:val="24"/>
              </w:rPr>
              <w:t>联系电话</w:t>
            </w:r>
          </w:p>
        </w:tc>
        <w:tc>
          <w:tcPr>
            <w:tcW w:w="3088" w:type="dxa"/>
            <w:tcBorders>
              <w:top w:val="nil"/>
              <w:left w:val="nil"/>
              <w:bottom w:val="single" w:color="auto" w:sz="4" w:space="0"/>
              <w:right w:val="single" w:color="auto" w:sz="4" w:space="0"/>
            </w:tcBorders>
            <w:shd w:val="clear" w:color="auto" w:fill="auto"/>
            <w:noWrap/>
            <w:vAlign w:val="center"/>
          </w:tcPr>
          <w:p w14:paraId="32E01725">
            <w:pPr>
              <w:widowControl/>
              <w:jc w:val="center"/>
              <w:rPr>
                <w:color w:val="000000"/>
                <w:sz w:val="24"/>
                <w:szCs w:val="24"/>
              </w:rPr>
            </w:pPr>
            <w:r>
              <w:rPr>
                <w:rFonts w:hint="eastAsia"/>
                <w:color w:val="000000"/>
                <w:sz w:val="24"/>
                <w:szCs w:val="24"/>
              </w:rPr>
              <w:t>　</w:t>
            </w:r>
          </w:p>
        </w:tc>
      </w:tr>
      <w:tr w14:paraId="3D945D0B">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6575589E">
            <w:pPr>
              <w:widowControl/>
              <w:jc w:val="center"/>
              <w:rPr>
                <w:color w:val="000000"/>
                <w:sz w:val="24"/>
                <w:szCs w:val="24"/>
              </w:rPr>
            </w:pPr>
            <w:r>
              <w:rPr>
                <w:rFonts w:hint="eastAsia"/>
                <w:color w:val="000000"/>
                <w:sz w:val="24"/>
                <w:szCs w:val="24"/>
              </w:rPr>
              <w:t>保修负责人</w:t>
            </w:r>
          </w:p>
        </w:tc>
        <w:tc>
          <w:tcPr>
            <w:tcW w:w="1843" w:type="dxa"/>
            <w:tcBorders>
              <w:top w:val="nil"/>
              <w:left w:val="nil"/>
              <w:bottom w:val="single" w:color="auto" w:sz="4" w:space="0"/>
              <w:right w:val="single" w:color="auto" w:sz="4" w:space="0"/>
            </w:tcBorders>
            <w:shd w:val="clear" w:color="auto" w:fill="auto"/>
            <w:noWrap/>
            <w:vAlign w:val="center"/>
          </w:tcPr>
          <w:p w14:paraId="2D94A279">
            <w:pPr>
              <w:widowControl/>
              <w:jc w:val="center"/>
              <w:rPr>
                <w:color w:val="000000"/>
                <w:sz w:val="24"/>
                <w:szCs w:val="24"/>
              </w:rPr>
            </w:pPr>
            <w:r>
              <w:rPr>
                <w:rFonts w:hint="eastAsia"/>
                <w:color w:val="000000"/>
                <w:sz w:val="24"/>
                <w:szCs w:val="24"/>
              </w:rPr>
              <w:t>　</w:t>
            </w:r>
          </w:p>
        </w:tc>
        <w:tc>
          <w:tcPr>
            <w:tcW w:w="1455" w:type="dxa"/>
            <w:tcBorders>
              <w:top w:val="nil"/>
              <w:left w:val="nil"/>
              <w:bottom w:val="single" w:color="auto" w:sz="4" w:space="0"/>
              <w:right w:val="single" w:color="auto" w:sz="4" w:space="0"/>
            </w:tcBorders>
            <w:shd w:val="clear" w:color="auto" w:fill="auto"/>
            <w:noWrap/>
            <w:vAlign w:val="center"/>
          </w:tcPr>
          <w:p w14:paraId="4BADE49A">
            <w:pPr>
              <w:widowControl/>
              <w:jc w:val="center"/>
              <w:rPr>
                <w:color w:val="000000"/>
                <w:sz w:val="24"/>
                <w:szCs w:val="24"/>
              </w:rPr>
            </w:pPr>
            <w:r>
              <w:rPr>
                <w:rFonts w:hint="eastAsia"/>
                <w:color w:val="000000"/>
                <w:sz w:val="24"/>
                <w:szCs w:val="24"/>
              </w:rPr>
              <w:t>联系电话</w:t>
            </w:r>
          </w:p>
        </w:tc>
        <w:tc>
          <w:tcPr>
            <w:tcW w:w="3088" w:type="dxa"/>
            <w:tcBorders>
              <w:top w:val="nil"/>
              <w:left w:val="nil"/>
              <w:bottom w:val="single" w:color="auto" w:sz="4" w:space="0"/>
              <w:right w:val="single" w:color="auto" w:sz="4" w:space="0"/>
            </w:tcBorders>
            <w:shd w:val="clear" w:color="auto" w:fill="auto"/>
            <w:noWrap/>
            <w:vAlign w:val="center"/>
          </w:tcPr>
          <w:p w14:paraId="1EE4F1B7">
            <w:pPr>
              <w:widowControl/>
              <w:jc w:val="center"/>
              <w:rPr>
                <w:color w:val="000000"/>
                <w:sz w:val="24"/>
                <w:szCs w:val="24"/>
              </w:rPr>
            </w:pPr>
            <w:r>
              <w:rPr>
                <w:rFonts w:hint="eastAsia"/>
                <w:color w:val="000000"/>
                <w:sz w:val="24"/>
                <w:szCs w:val="24"/>
              </w:rPr>
              <w:t>　</w:t>
            </w:r>
          </w:p>
        </w:tc>
      </w:tr>
      <w:tr w14:paraId="4123E6FB">
        <w:tblPrEx>
          <w:tblCellMar>
            <w:top w:w="0" w:type="dxa"/>
            <w:left w:w="108" w:type="dxa"/>
            <w:bottom w:w="0" w:type="dxa"/>
            <w:right w:w="108" w:type="dxa"/>
          </w:tblCellMar>
        </w:tblPrEx>
        <w:trPr>
          <w:trHeight w:val="2550" w:hRule="atLeast"/>
        </w:trPr>
        <w:tc>
          <w:tcPr>
            <w:tcW w:w="852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0B2161A">
            <w:pPr>
              <w:widowControl/>
              <w:rPr>
                <w:color w:val="000000"/>
                <w:sz w:val="24"/>
                <w:szCs w:val="24"/>
              </w:rPr>
            </w:pPr>
            <w:r>
              <w:rPr>
                <w:rFonts w:hint="eastAsia"/>
                <w:b/>
                <w:bCs/>
                <w:color w:val="000000"/>
                <w:sz w:val="24"/>
                <w:szCs w:val="24"/>
              </w:rPr>
              <w:t>备注：</w:t>
            </w:r>
            <w:r>
              <w:rPr>
                <w:rFonts w:hint="eastAsia"/>
                <w:color w:val="000000"/>
                <w:sz w:val="24"/>
                <w:szCs w:val="24"/>
              </w:rPr>
              <w:br w:type="textWrapping"/>
            </w:r>
            <w:r>
              <w:rPr>
                <w:rFonts w:hint="eastAsia"/>
                <w:color w:val="000000"/>
                <w:sz w:val="24"/>
                <w:szCs w:val="24"/>
              </w:rPr>
              <w:t>1、发包人均可通过以上联系人及联系方式通知承包人，发包人向上述联系人及联系方式发出通知视为履行了通知义务，因通讯不畅通或者更换后未能及时通知发包人所导致的所有后果均由承包人承担，发包人可自行安排处理，发生的所有费用从承包人的工程款（包括但不限于工程进度款、结算款、保修款、材料款等款项）中扣除。</w:t>
            </w:r>
            <w:r>
              <w:rPr>
                <w:rFonts w:hint="eastAsia"/>
                <w:color w:val="000000"/>
                <w:sz w:val="24"/>
                <w:szCs w:val="24"/>
              </w:rPr>
              <w:br w:type="textWrapping"/>
            </w:r>
            <w:r>
              <w:rPr>
                <w:rFonts w:hint="eastAsia"/>
                <w:color w:val="000000"/>
                <w:sz w:val="24"/>
                <w:szCs w:val="24"/>
              </w:rPr>
              <w:t>2、以上联系人及联系方式若有更改，承包人将以书面形式知会</w:t>
            </w:r>
            <w:r>
              <w:rPr>
                <w:rFonts w:hint="eastAsia"/>
                <w:color w:val="000000"/>
                <w:sz w:val="24"/>
                <w:szCs w:val="24"/>
                <w:u w:val="single"/>
              </w:rPr>
              <w:t xml:space="preserve">    </w:t>
            </w:r>
            <w:r>
              <w:rPr>
                <w:rFonts w:hint="eastAsia"/>
                <w:color w:val="000000"/>
                <w:sz w:val="24"/>
                <w:szCs w:val="24"/>
              </w:rPr>
              <w:t>保修服务管理部门。</w:t>
            </w:r>
            <w:r>
              <w:rPr>
                <w:rFonts w:hint="eastAsia"/>
                <w:color w:val="000000"/>
                <w:sz w:val="24"/>
                <w:szCs w:val="24"/>
              </w:rPr>
              <w:br w:type="textWrapping"/>
            </w:r>
            <w:r>
              <w:rPr>
                <w:rFonts w:hint="eastAsia"/>
                <w:color w:val="000000"/>
                <w:sz w:val="24"/>
                <w:szCs w:val="24"/>
              </w:rPr>
              <w:t xml:space="preserve">                                        </w:t>
            </w:r>
            <w:r>
              <w:rPr>
                <w:rFonts w:hint="eastAsia"/>
                <w:color w:val="000000"/>
                <w:sz w:val="24"/>
                <w:szCs w:val="24"/>
              </w:rPr>
              <w:br w:type="textWrapping"/>
            </w:r>
            <w:r>
              <w:rPr>
                <w:rFonts w:hint="eastAsia"/>
                <w:color w:val="000000"/>
                <w:sz w:val="24"/>
                <w:szCs w:val="24"/>
              </w:rPr>
              <w:t xml:space="preserve">                             </w:t>
            </w:r>
          </w:p>
          <w:p w14:paraId="0322F1EB">
            <w:pPr>
              <w:widowControl/>
              <w:ind w:firstLine="4680" w:firstLineChars="1950"/>
              <w:rPr>
                <w:color w:val="000000"/>
                <w:sz w:val="24"/>
                <w:szCs w:val="24"/>
              </w:rPr>
            </w:pPr>
            <w:r>
              <w:rPr>
                <w:rFonts w:hint="eastAsia"/>
                <w:color w:val="000000"/>
                <w:sz w:val="24"/>
                <w:szCs w:val="24"/>
              </w:rPr>
              <w:t xml:space="preserve">  公司名称：            （盖章）</w:t>
            </w:r>
            <w:r>
              <w:rPr>
                <w:rFonts w:hint="eastAsia"/>
                <w:color w:val="000000"/>
                <w:sz w:val="24"/>
                <w:szCs w:val="24"/>
              </w:rPr>
              <w:br w:type="textWrapping"/>
            </w:r>
            <w:r>
              <w:rPr>
                <w:rFonts w:hint="eastAsia"/>
                <w:color w:val="000000"/>
                <w:sz w:val="24"/>
                <w:szCs w:val="24"/>
              </w:rPr>
              <w:t xml:space="preserve">                               </w:t>
            </w:r>
            <w:r>
              <w:rPr>
                <w:color w:val="000000"/>
                <w:sz w:val="24"/>
                <w:szCs w:val="24"/>
              </w:rPr>
              <w:t xml:space="preserve">          </w:t>
            </w:r>
            <w:r>
              <w:rPr>
                <w:rFonts w:hint="eastAsia"/>
                <w:color w:val="000000"/>
                <w:sz w:val="24"/>
                <w:szCs w:val="24"/>
              </w:rPr>
              <w:t>日 期：</w:t>
            </w:r>
          </w:p>
        </w:tc>
      </w:tr>
    </w:tbl>
    <w:p w14:paraId="661610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518C4"/>
    <w:multiLevelType w:val="singleLevel"/>
    <w:tmpl w:val="9FF518C4"/>
    <w:lvl w:ilvl="0" w:tentative="0">
      <w:start w:val="1"/>
      <w:numFmt w:val="decimal"/>
      <w:lvlText w:val="%1."/>
      <w:lvlJc w:val="left"/>
      <w:pPr>
        <w:ind w:left="425" w:hanging="425"/>
      </w:pPr>
      <w:rPr>
        <w:rFonts w:hint="default"/>
      </w:rPr>
    </w:lvl>
  </w:abstractNum>
  <w:abstractNum w:abstractNumId="1">
    <w:nsid w:val="004036E9"/>
    <w:multiLevelType w:val="multilevel"/>
    <w:tmpl w:val="004036E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CBE10A6"/>
    <w:multiLevelType w:val="multilevel"/>
    <w:tmpl w:val="3CBE10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91360C"/>
    <w:multiLevelType w:val="multilevel"/>
    <w:tmpl w:val="6191360C"/>
    <w:lvl w:ilvl="0" w:tentative="0">
      <w:start w:val="1"/>
      <w:numFmt w:val="decimal"/>
      <w:lvlText w:val="%1."/>
      <w:lvlJc w:val="left"/>
      <w:pPr>
        <w:ind w:left="425" w:hanging="425"/>
      </w:pPr>
      <w:rPr>
        <w:rFonts w:hint="eastAsia"/>
        <w:b w:val="0"/>
        <w:bCs w:val="0"/>
      </w:rPr>
    </w:lvl>
    <w:lvl w:ilvl="1" w:tentative="0">
      <w:start w:val="1"/>
      <w:numFmt w:val="decimal"/>
      <w:lvlText w:val="%1.%2."/>
      <w:lvlJc w:val="left"/>
      <w:pPr>
        <w:ind w:left="567" w:hanging="567"/>
      </w:pPr>
      <w:rPr>
        <w:rFonts w:hint="eastAsia"/>
        <w:b w:val="0"/>
        <w:bCs w:val="0"/>
        <w:color w:val="auto"/>
      </w:rPr>
    </w:lvl>
    <w:lvl w:ilvl="2" w:tentative="0">
      <w:start w:val="1"/>
      <w:numFmt w:val="decimal"/>
      <w:lvlText w:val="%1.%2.%3."/>
      <w:lvlJc w:val="left"/>
      <w:pPr>
        <w:ind w:left="709" w:hanging="709"/>
      </w:pPr>
      <w:rPr>
        <w:rFonts w:hint="eastAsia"/>
        <w:b w:val="0"/>
        <w:bCs w:val="0"/>
        <w:color w:val="auto"/>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739E3450"/>
    <w:multiLevelType w:val="multilevel"/>
    <w:tmpl w:val="739E3450"/>
    <w:lvl w:ilvl="0" w:tentative="0">
      <w:start w:val="1"/>
      <w:numFmt w:val="decimalEnclosedCircle"/>
      <w:lvlText w:val="%1"/>
      <w:lvlJc w:val="left"/>
      <w:pPr>
        <w:ind w:left="360" w:hanging="360"/>
      </w:pPr>
      <w:rPr>
        <w:rFonts w:cs="宋体" w:asciiTheme="minorEastAsia" w:hAnsiTheme="minorEastAsia"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6C2D85"/>
    <w:rsid w:val="00275141"/>
    <w:rsid w:val="006C2D85"/>
    <w:rsid w:val="08AB6853"/>
    <w:rsid w:val="0B367323"/>
    <w:rsid w:val="110A4333"/>
    <w:rsid w:val="1CA22946"/>
    <w:rsid w:val="22CA1B74"/>
    <w:rsid w:val="246C595F"/>
    <w:rsid w:val="26105AA0"/>
    <w:rsid w:val="261403CA"/>
    <w:rsid w:val="29064BB3"/>
    <w:rsid w:val="2AA11728"/>
    <w:rsid w:val="3120388F"/>
    <w:rsid w:val="383733B0"/>
    <w:rsid w:val="38C76246"/>
    <w:rsid w:val="3FDF72BA"/>
    <w:rsid w:val="48961DA3"/>
    <w:rsid w:val="519B01F9"/>
    <w:rsid w:val="53B157A1"/>
    <w:rsid w:val="575651A9"/>
    <w:rsid w:val="594A2AEB"/>
    <w:rsid w:val="5B8055AB"/>
    <w:rsid w:val="5BC34BDF"/>
    <w:rsid w:val="5C1D44E7"/>
    <w:rsid w:val="60F265E6"/>
    <w:rsid w:val="62DD538A"/>
    <w:rsid w:val="FEB6C1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4298</Words>
  <Characters>4368</Characters>
  <Lines>83</Lines>
  <Paragraphs>23</Paragraphs>
  <TotalTime>11</TotalTime>
  <ScaleCrop>false</ScaleCrop>
  <LinksUpToDate>false</LinksUpToDate>
  <CharactersWithSpaces>4601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2022-01-27T10:48:00Z</dcterms:created>
  <dc:creator>fanluhui</dc:creator>
  <cp:lastModifiedBy>李秋媚</cp:lastModifiedBy>
  <dcterms:modified xsi:type="dcterms:W3CDTF">2025-09-29T09:46:20Z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13B4C5822C1F459BB9505BF59D5EBAF2</vt:lpwstr>
  </property>
  <property fmtid="{D5CDD505-2E9C-101B-9397-08002B2CF9AE}" pid="4" name="KSOTemplateDocerSaveRecord">
    <vt:lpwstr>eyJoZGlkIjoiYjczMjkxNjI0YTA3NzA0ZWU5ZTc1ZmQwNzEyNGU2NjYiLCJ1c2VySWQiOiI0MDYzMzQyMTgifQ==</vt:lpwstr>
  </property>
</Properties>
</file>